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FF42" w14:textId="77777777" w:rsidR="003C2AC3" w:rsidRDefault="00000000">
      <w:pPr>
        <w:pStyle w:val="Title"/>
        <w:rPr>
          <w:color w:val="000000"/>
        </w:rPr>
      </w:pPr>
      <w:bookmarkStart w:id="0" w:name="_lh2r57mwg48n" w:colFirst="0" w:colLast="0"/>
      <w:bookmarkEnd w:id="0"/>
      <w:r>
        <w:rPr>
          <w:color w:val="000000"/>
        </w:rPr>
        <w:t>Social and Behavior Change (SBC) Data Brief</w:t>
      </w:r>
    </w:p>
    <w:p w14:paraId="3156884E" w14:textId="77777777" w:rsidR="003C2AC3" w:rsidRDefault="003C2AC3">
      <w:pPr>
        <w:spacing w:after="160" w:line="259" w:lineRule="auto"/>
        <w:rPr>
          <w:b/>
          <w:color w:val="000000"/>
          <w:sz w:val="54"/>
          <w:szCs w:val="54"/>
        </w:rPr>
      </w:pPr>
    </w:p>
    <w:p w14:paraId="5FB7DF97" w14:textId="77777777" w:rsidR="003C2AC3" w:rsidRDefault="00000000">
      <w:pPr>
        <w:spacing w:after="160" w:line="259" w:lineRule="auto"/>
        <w:rPr>
          <w:b/>
          <w:color w:val="000000"/>
          <w:sz w:val="54"/>
          <w:szCs w:val="54"/>
        </w:rPr>
      </w:pPr>
      <w:r>
        <w:rPr>
          <w:b/>
          <w:color w:val="000000"/>
          <w:sz w:val="54"/>
          <w:szCs w:val="54"/>
        </w:rPr>
        <w:t>ITN Use</w:t>
      </w:r>
    </w:p>
    <w:p w14:paraId="2C099A18" w14:textId="77777777" w:rsidR="003C2AC3" w:rsidRDefault="003C2AC3">
      <w:pPr>
        <w:spacing w:after="160" w:line="259" w:lineRule="auto"/>
        <w:rPr>
          <w:b/>
          <w:color w:val="000000"/>
          <w:sz w:val="54"/>
          <w:szCs w:val="54"/>
        </w:rPr>
      </w:pPr>
    </w:p>
    <w:p w14:paraId="07695653" w14:textId="77777777" w:rsidR="003C2AC3" w:rsidRDefault="003C2AC3">
      <w:pPr>
        <w:spacing w:after="160" w:line="259" w:lineRule="auto"/>
        <w:rPr>
          <w:b/>
          <w:color w:val="000000"/>
          <w:sz w:val="54"/>
          <w:szCs w:val="54"/>
        </w:rPr>
      </w:pPr>
    </w:p>
    <w:p w14:paraId="6F216C31" w14:textId="77777777" w:rsidR="003C2AC3" w:rsidRDefault="003C2AC3">
      <w:pPr>
        <w:spacing w:after="160" w:line="259" w:lineRule="auto"/>
        <w:rPr>
          <w:b/>
          <w:color w:val="000000"/>
          <w:sz w:val="54"/>
          <w:szCs w:val="54"/>
        </w:rPr>
      </w:pPr>
    </w:p>
    <w:p w14:paraId="70407CEC" w14:textId="77777777" w:rsidR="003C2AC3" w:rsidRDefault="003C2AC3">
      <w:pPr>
        <w:spacing w:after="160" w:line="259" w:lineRule="auto"/>
        <w:rPr>
          <w:b/>
          <w:color w:val="000000"/>
          <w:sz w:val="54"/>
          <w:szCs w:val="54"/>
        </w:rPr>
      </w:pPr>
    </w:p>
    <w:p w14:paraId="750563F1" w14:textId="77777777" w:rsidR="003C2AC3" w:rsidRDefault="003C2AC3">
      <w:pPr>
        <w:spacing w:after="160" w:line="259" w:lineRule="auto"/>
        <w:rPr>
          <w:b/>
          <w:color w:val="000000"/>
          <w:sz w:val="54"/>
          <w:szCs w:val="54"/>
        </w:rPr>
      </w:pPr>
    </w:p>
    <w:p w14:paraId="6AD7F847" w14:textId="77777777" w:rsidR="003C2AC3" w:rsidRDefault="003C2AC3">
      <w:pPr>
        <w:spacing w:after="160" w:line="259" w:lineRule="auto"/>
        <w:rPr>
          <w:b/>
          <w:color w:val="000000"/>
          <w:sz w:val="54"/>
          <w:szCs w:val="54"/>
        </w:rPr>
      </w:pPr>
    </w:p>
    <w:p w14:paraId="7A5CB300" w14:textId="77777777" w:rsidR="003C2AC3" w:rsidRDefault="003C2AC3">
      <w:pPr>
        <w:spacing w:after="160" w:line="259" w:lineRule="auto"/>
        <w:rPr>
          <w:b/>
          <w:color w:val="000000"/>
          <w:sz w:val="54"/>
          <w:szCs w:val="54"/>
        </w:rPr>
      </w:pPr>
    </w:p>
    <w:p w14:paraId="514C06E7" w14:textId="77777777" w:rsidR="003C2AC3" w:rsidRDefault="00000000">
      <w:pPr>
        <w:spacing w:after="160" w:line="259" w:lineRule="auto"/>
        <w:jc w:val="center"/>
        <w:sectPr w:rsidR="003C2AC3">
          <w:footerReference w:type="default" r:id="rId6"/>
          <w:footerReference w:type="first" r:id="rId7"/>
          <w:pgSz w:w="12240" w:h="15840"/>
          <w:pgMar w:top="720" w:right="720" w:bottom="720" w:left="720" w:header="720" w:footer="720" w:gutter="0"/>
          <w:pgNumType w:start="1"/>
          <w:cols w:space="720"/>
        </w:sectPr>
      </w:pPr>
      <w:r>
        <w:rPr>
          <w:b/>
          <w:noProof/>
          <w:color w:val="000000"/>
          <w:sz w:val="54"/>
          <w:szCs w:val="54"/>
        </w:rPr>
        <w:drawing>
          <wp:inline distT="114300" distB="114300" distL="114300" distR="114300" wp14:anchorId="34E59982" wp14:editId="673EDDB3">
            <wp:extent cx="6076950" cy="1304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76950" cy="1304925"/>
                    </a:xfrm>
                    <a:prstGeom prst="rect">
                      <a:avLst/>
                    </a:prstGeom>
                    <a:ln/>
                  </pic:spPr>
                </pic:pic>
              </a:graphicData>
            </a:graphic>
          </wp:inline>
        </w:drawing>
      </w:r>
    </w:p>
    <w:p w14:paraId="6CB1A827" w14:textId="77777777" w:rsidR="003C2AC3" w:rsidRDefault="00000000">
      <w:pPr>
        <w:rPr>
          <w:b/>
        </w:rPr>
      </w:pPr>
      <w:r>
        <w:rPr>
          <w:b/>
        </w:rPr>
        <w:lastRenderedPageBreak/>
        <w:t>How to use this data brief</w:t>
      </w:r>
    </w:p>
    <w:p w14:paraId="768CD102" w14:textId="77777777" w:rsidR="003C2AC3" w:rsidRDefault="00000000">
      <w:r>
        <w:t xml:space="preserve">This ITN use data brief is part of the RBM Partnership to End Malaria’s Strategy Development Toolkit. This data brief should be used to inform the development of a country’s malaria SBC strategy. Specifically,  these data should be used to inform the strategy’s forward section (see the RBM Partnership to End Malaria Social and Behavior Change Strategy Development </w:t>
      </w:r>
      <w:hyperlink r:id="rId9">
        <w:r>
          <w:rPr>
            <w:color w:val="1155CC"/>
            <w:u w:val="single"/>
          </w:rPr>
          <w:t>Guide</w:t>
        </w:r>
      </w:hyperlink>
      <w:r>
        <w:t xml:space="preserve"> and </w:t>
      </w:r>
      <w:hyperlink r:id="rId10">
        <w:r>
          <w:rPr>
            <w:color w:val="1155CC"/>
            <w:u w:val="single"/>
          </w:rPr>
          <w:t>Template</w:t>
        </w:r>
      </w:hyperlink>
      <w:r>
        <w:t xml:space="preserve">) and  intervention-specific plans (which include situation analyses, behavioral analyses, audience analyses, and strategic communication approaches). Available data should be collected and synthesized here before the strategy development stakeholder’s workshop, and well before the subsequent strategy development writing retreat. This will ensure all partners are familiar with available data, which in turn will ensure the resulting malaria SBC strategy is evidence-based. </w:t>
      </w:r>
    </w:p>
    <w:p w14:paraId="133B28D9" w14:textId="77777777" w:rsidR="003C2AC3" w:rsidRDefault="00000000">
      <w:pPr>
        <w:rPr>
          <w:color w:val="000000"/>
        </w:rPr>
      </w:pPr>
      <w:r>
        <w:rPr>
          <w:i/>
          <w:sz w:val="20"/>
          <w:szCs w:val="20"/>
        </w:rPr>
        <w:t>Note: The following indicator table is not a comprehensive list. Countries should remove indicators that are not available/relevant and add those that may be available/relevant as needed.</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4"/>
        <w:gridCol w:w="823"/>
        <w:gridCol w:w="811"/>
        <w:gridCol w:w="811"/>
        <w:gridCol w:w="811"/>
      </w:tblGrid>
      <w:tr w:rsidR="003C2AC3" w14:paraId="48C9DC13" w14:textId="77777777">
        <w:tc>
          <w:tcPr>
            <w:tcW w:w="7728" w:type="dxa"/>
            <w:gridSpan w:val="3"/>
            <w:tcBorders>
              <w:top w:val="single" w:sz="4" w:space="0" w:color="2E75B5"/>
              <w:left w:val="single" w:sz="4" w:space="0" w:color="2E75B5"/>
              <w:bottom w:val="nil"/>
              <w:right w:val="single" w:sz="4" w:space="0" w:color="2E75B5"/>
            </w:tcBorders>
            <w:shd w:val="clear" w:color="auto" w:fill="2E75B5"/>
          </w:tcPr>
          <w:p w14:paraId="5F9ACEB1" w14:textId="77777777" w:rsidR="003C2AC3" w:rsidRDefault="00000000">
            <w:pPr>
              <w:pBdr>
                <w:top w:val="nil"/>
                <w:left w:val="nil"/>
                <w:bottom w:val="nil"/>
                <w:right w:val="nil"/>
                <w:between w:val="nil"/>
              </w:pBdr>
              <w:spacing w:before="80" w:after="80"/>
              <w:rPr>
                <w:b/>
                <w:smallCaps/>
                <w:color w:val="FFFFFF"/>
              </w:rPr>
            </w:pPr>
            <w:proofErr w:type="spellStart"/>
            <w:r>
              <w:rPr>
                <w:b/>
                <w:smallCaps/>
                <w:color w:val="FFFFFF"/>
              </w:rPr>
              <w:t>sbcrief</w:t>
            </w:r>
            <w:proofErr w:type="spellEnd"/>
            <w:r>
              <w:rPr>
                <w:b/>
                <w:smallCaps/>
                <w:color w:val="FFFFFF"/>
              </w:rPr>
              <w:t xml:space="preserve">: </w:t>
            </w:r>
            <w:proofErr w:type="spellStart"/>
            <w:r>
              <w:rPr>
                <w:b/>
                <w:smallCaps/>
                <w:color w:val="FFFFFF"/>
              </w:rPr>
              <w:t>itn</w:t>
            </w:r>
            <w:proofErr w:type="spellEnd"/>
            <w:r>
              <w:rPr>
                <w:b/>
                <w:smallCaps/>
                <w:color w:val="FFFFFF"/>
              </w:rPr>
              <w:t xml:space="preserve"> use behaviors</w:t>
            </w:r>
          </w:p>
        </w:tc>
        <w:tc>
          <w:tcPr>
            <w:tcW w:w="811" w:type="dxa"/>
            <w:tcBorders>
              <w:top w:val="single" w:sz="4" w:space="0" w:color="2E75B5"/>
              <w:left w:val="single" w:sz="4" w:space="0" w:color="2E75B5"/>
              <w:bottom w:val="nil"/>
              <w:right w:val="single" w:sz="4" w:space="0" w:color="2E75B5"/>
            </w:tcBorders>
            <w:shd w:val="clear" w:color="auto" w:fill="2E75B5"/>
          </w:tcPr>
          <w:p w14:paraId="50F84F8A" w14:textId="77777777" w:rsidR="003C2AC3" w:rsidRDefault="003C2AC3">
            <w:pPr>
              <w:pBdr>
                <w:top w:val="nil"/>
                <w:left w:val="nil"/>
                <w:bottom w:val="nil"/>
                <w:right w:val="nil"/>
                <w:between w:val="nil"/>
              </w:pBdr>
              <w:spacing w:before="80" w:after="80"/>
              <w:rPr>
                <w:b/>
                <w:smallCaps/>
                <w:color w:val="FFFFFF"/>
              </w:rPr>
            </w:pPr>
          </w:p>
        </w:tc>
        <w:tc>
          <w:tcPr>
            <w:tcW w:w="811" w:type="dxa"/>
            <w:tcBorders>
              <w:top w:val="single" w:sz="4" w:space="0" w:color="2E75B5"/>
              <w:left w:val="single" w:sz="4" w:space="0" w:color="2E75B5"/>
              <w:bottom w:val="nil"/>
              <w:right w:val="single" w:sz="4" w:space="0" w:color="2E75B5"/>
            </w:tcBorders>
            <w:shd w:val="clear" w:color="auto" w:fill="2E75B5"/>
          </w:tcPr>
          <w:p w14:paraId="611048E8" w14:textId="77777777" w:rsidR="003C2AC3" w:rsidRDefault="003C2AC3">
            <w:pPr>
              <w:pBdr>
                <w:top w:val="nil"/>
                <w:left w:val="nil"/>
                <w:bottom w:val="nil"/>
                <w:right w:val="nil"/>
                <w:between w:val="nil"/>
              </w:pBdr>
              <w:spacing w:before="80" w:after="80"/>
              <w:rPr>
                <w:b/>
                <w:smallCaps/>
                <w:color w:val="FFFFFF"/>
              </w:rPr>
            </w:pPr>
          </w:p>
        </w:tc>
      </w:tr>
      <w:tr w:rsidR="003C2AC3" w14:paraId="3830F591" w14:textId="77777777">
        <w:tc>
          <w:tcPr>
            <w:tcW w:w="6094" w:type="dxa"/>
            <w:tcBorders>
              <w:top w:val="nil"/>
              <w:left w:val="single" w:sz="4" w:space="0" w:color="A6A6A6"/>
              <w:bottom w:val="single" w:sz="6" w:space="0" w:color="A6A6A6"/>
              <w:right w:val="single" w:sz="6" w:space="0" w:color="A6A6A6"/>
            </w:tcBorders>
            <w:shd w:val="clear" w:color="auto" w:fill="EDEDED"/>
          </w:tcPr>
          <w:p w14:paraId="030C9F0C" w14:textId="77777777" w:rsidR="003C2AC3" w:rsidRDefault="00000000">
            <w:pPr>
              <w:pBdr>
                <w:top w:val="nil"/>
                <w:left w:val="nil"/>
                <w:bottom w:val="nil"/>
                <w:right w:val="nil"/>
                <w:between w:val="nil"/>
              </w:pBdr>
              <w:spacing w:before="40" w:after="40"/>
              <w:rPr>
                <w:smallCaps/>
              </w:rPr>
            </w:pPr>
            <w:r>
              <w:rPr>
                <w:smallCaps/>
              </w:rPr>
              <w:t>Indicator</w:t>
            </w:r>
          </w:p>
        </w:tc>
        <w:tc>
          <w:tcPr>
            <w:tcW w:w="823" w:type="dxa"/>
            <w:tcBorders>
              <w:top w:val="nil"/>
              <w:left w:val="single" w:sz="6" w:space="0" w:color="A6A6A6"/>
              <w:bottom w:val="single" w:sz="6" w:space="0" w:color="A6A6A6"/>
              <w:right w:val="single" w:sz="6" w:space="0" w:color="A6A6A6"/>
            </w:tcBorders>
            <w:shd w:val="clear" w:color="auto" w:fill="EDEDED"/>
          </w:tcPr>
          <w:p w14:paraId="163E302E" w14:textId="77777777" w:rsidR="003C2AC3" w:rsidRDefault="00000000">
            <w:pPr>
              <w:pBdr>
                <w:top w:val="nil"/>
                <w:left w:val="nil"/>
                <w:bottom w:val="nil"/>
                <w:right w:val="nil"/>
                <w:between w:val="nil"/>
              </w:pBdr>
              <w:spacing w:before="40" w:after="40"/>
              <w:jc w:val="center"/>
              <w:rPr>
                <w:smallCaps/>
              </w:rPr>
            </w:pPr>
            <w:r>
              <w:rPr>
                <w:smallCaps/>
              </w:rPr>
              <w:t>mics</w:t>
            </w:r>
          </w:p>
          <w:p w14:paraId="6ACB1D9E" w14:textId="77777777" w:rsidR="003C2AC3" w:rsidRDefault="00000000">
            <w:pPr>
              <w:pBdr>
                <w:top w:val="nil"/>
                <w:left w:val="nil"/>
                <w:bottom w:val="nil"/>
                <w:right w:val="nil"/>
                <w:between w:val="nil"/>
              </w:pBdr>
              <w:spacing w:before="40" w:after="40"/>
              <w:jc w:val="center"/>
              <w:rPr>
                <w:smallCaps/>
              </w:rPr>
            </w:pPr>
            <w:r>
              <w:rPr>
                <w:smallCaps/>
              </w:rPr>
              <w:t>year</w:t>
            </w:r>
          </w:p>
        </w:tc>
        <w:tc>
          <w:tcPr>
            <w:tcW w:w="811" w:type="dxa"/>
            <w:tcBorders>
              <w:top w:val="nil"/>
              <w:left w:val="single" w:sz="6" w:space="0" w:color="A6A6A6"/>
              <w:bottom w:val="single" w:sz="6" w:space="0" w:color="A6A6A6"/>
              <w:right w:val="single" w:sz="4" w:space="0" w:color="A6A6A6"/>
            </w:tcBorders>
            <w:shd w:val="clear" w:color="auto" w:fill="EDEDED"/>
          </w:tcPr>
          <w:p w14:paraId="0D3C1D21" w14:textId="77777777" w:rsidR="003C2AC3" w:rsidRDefault="00000000">
            <w:pPr>
              <w:pBdr>
                <w:top w:val="nil"/>
                <w:left w:val="nil"/>
                <w:bottom w:val="nil"/>
                <w:right w:val="nil"/>
                <w:between w:val="nil"/>
              </w:pBdr>
              <w:spacing w:before="40" w:after="40"/>
              <w:jc w:val="center"/>
              <w:rPr>
                <w:smallCaps/>
              </w:rPr>
            </w:pPr>
            <w:r>
              <w:rPr>
                <w:smallCaps/>
              </w:rPr>
              <w:t>mis</w:t>
            </w:r>
          </w:p>
          <w:p w14:paraId="56362FA9" w14:textId="77777777" w:rsidR="003C2AC3" w:rsidRDefault="00000000">
            <w:pPr>
              <w:pBdr>
                <w:top w:val="nil"/>
                <w:left w:val="nil"/>
                <w:bottom w:val="nil"/>
                <w:right w:val="nil"/>
                <w:between w:val="nil"/>
              </w:pBdr>
              <w:spacing w:before="40" w:after="40"/>
              <w:jc w:val="center"/>
              <w:rPr>
                <w:smallCaps/>
              </w:rPr>
            </w:pPr>
            <w:r>
              <w:rPr>
                <w:smallCaps/>
              </w:rPr>
              <w:t>year</w:t>
            </w:r>
          </w:p>
        </w:tc>
        <w:tc>
          <w:tcPr>
            <w:tcW w:w="811" w:type="dxa"/>
            <w:tcBorders>
              <w:top w:val="nil"/>
              <w:left w:val="single" w:sz="6" w:space="0" w:color="A6A6A6"/>
              <w:bottom w:val="single" w:sz="6" w:space="0" w:color="A6A6A6"/>
              <w:right w:val="single" w:sz="4" w:space="0" w:color="A6A6A6"/>
            </w:tcBorders>
            <w:shd w:val="clear" w:color="auto" w:fill="EDEDED"/>
          </w:tcPr>
          <w:p w14:paraId="77CF5AD4" w14:textId="77777777" w:rsidR="003C2AC3" w:rsidRDefault="00000000">
            <w:pPr>
              <w:pBdr>
                <w:top w:val="nil"/>
                <w:left w:val="nil"/>
                <w:bottom w:val="nil"/>
                <w:right w:val="nil"/>
                <w:between w:val="nil"/>
              </w:pBdr>
              <w:spacing w:before="40" w:after="40"/>
              <w:jc w:val="center"/>
              <w:rPr>
                <w:smallCaps/>
              </w:rPr>
            </w:pPr>
            <w:proofErr w:type="spellStart"/>
            <w:r>
              <w:rPr>
                <w:smallCaps/>
              </w:rPr>
              <w:t>dhs</w:t>
            </w:r>
            <w:proofErr w:type="spellEnd"/>
          </w:p>
          <w:p w14:paraId="68DC818E" w14:textId="77777777" w:rsidR="003C2AC3" w:rsidRDefault="00000000">
            <w:pPr>
              <w:pBdr>
                <w:top w:val="nil"/>
                <w:left w:val="nil"/>
                <w:bottom w:val="nil"/>
                <w:right w:val="nil"/>
                <w:between w:val="nil"/>
              </w:pBdr>
              <w:spacing w:before="40" w:after="40"/>
              <w:jc w:val="center"/>
              <w:rPr>
                <w:smallCaps/>
              </w:rPr>
            </w:pPr>
            <w:r>
              <w:rPr>
                <w:smallCaps/>
              </w:rPr>
              <w:t>year</w:t>
            </w:r>
          </w:p>
        </w:tc>
        <w:tc>
          <w:tcPr>
            <w:tcW w:w="811" w:type="dxa"/>
            <w:tcBorders>
              <w:top w:val="nil"/>
              <w:left w:val="single" w:sz="6" w:space="0" w:color="A6A6A6"/>
              <w:bottom w:val="single" w:sz="6" w:space="0" w:color="A6A6A6"/>
              <w:right w:val="single" w:sz="4" w:space="0" w:color="A6A6A6"/>
            </w:tcBorders>
            <w:shd w:val="clear" w:color="auto" w:fill="EDEDED"/>
          </w:tcPr>
          <w:p w14:paraId="6E631F3E" w14:textId="77777777" w:rsidR="003C2AC3" w:rsidRDefault="00000000">
            <w:pPr>
              <w:pBdr>
                <w:top w:val="nil"/>
                <w:left w:val="nil"/>
                <w:bottom w:val="nil"/>
                <w:right w:val="nil"/>
                <w:between w:val="nil"/>
              </w:pBdr>
              <w:spacing w:before="40" w:after="40"/>
              <w:jc w:val="center"/>
              <w:rPr>
                <w:smallCaps/>
              </w:rPr>
            </w:pPr>
            <w:proofErr w:type="spellStart"/>
            <w:r>
              <w:rPr>
                <w:smallCaps/>
              </w:rPr>
              <w:t>mbs</w:t>
            </w:r>
            <w:proofErr w:type="spellEnd"/>
          </w:p>
          <w:p w14:paraId="6BB2749F" w14:textId="77777777" w:rsidR="003C2AC3" w:rsidRDefault="00000000">
            <w:pPr>
              <w:pBdr>
                <w:top w:val="nil"/>
                <w:left w:val="nil"/>
                <w:bottom w:val="nil"/>
                <w:right w:val="nil"/>
                <w:between w:val="nil"/>
              </w:pBdr>
              <w:spacing w:before="40" w:after="40"/>
              <w:jc w:val="center"/>
              <w:rPr>
                <w:smallCaps/>
              </w:rPr>
            </w:pPr>
            <w:r>
              <w:rPr>
                <w:smallCaps/>
              </w:rPr>
              <w:t>year</w:t>
            </w:r>
          </w:p>
        </w:tc>
      </w:tr>
      <w:tr w:rsidR="003C2AC3" w14:paraId="2A2C6ED4"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4949949E" w14:textId="77777777" w:rsidR="003C2AC3" w:rsidRDefault="00000000">
            <w:pPr>
              <w:pBdr>
                <w:top w:val="nil"/>
                <w:left w:val="nil"/>
                <w:bottom w:val="nil"/>
                <w:right w:val="nil"/>
                <w:between w:val="nil"/>
              </w:pBdr>
              <w:spacing w:before="40" w:after="40"/>
              <w:jc w:val="center"/>
              <w:rPr>
                <w:b/>
              </w:rPr>
            </w:pPr>
            <w:r>
              <w:rPr>
                <w:b/>
              </w:rPr>
              <w:t xml:space="preserve">Behaviors </w:t>
            </w:r>
          </w:p>
          <w:p w14:paraId="26D73C2E" w14:textId="77777777" w:rsidR="003C2AC3" w:rsidRDefault="00000000">
            <w:pPr>
              <w:pBdr>
                <w:top w:val="nil"/>
                <w:left w:val="nil"/>
                <w:bottom w:val="nil"/>
                <w:right w:val="nil"/>
                <w:between w:val="nil"/>
              </w:pBdr>
              <w:spacing w:before="40" w:after="40"/>
              <w:jc w:val="center"/>
            </w:pPr>
            <w:r>
              <w:t xml:space="preserve">( insert these indicators into the </w:t>
            </w:r>
            <w:r>
              <w:rPr>
                <w:u w:val="single"/>
              </w:rPr>
              <w:t>situation analysis</w:t>
            </w:r>
            <w:r>
              <w:t xml:space="preserve"> polygons in the</w:t>
            </w:r>
            <w:hyperlink r:id="rId11">
              <w:r>
                <w:rPr>
                  <w:color w:val="1155CC"/>
                  <w:u w:val="single"/>
                </w:rPr>
                <w:t xml:space="preserve"> ITN Use tell-a-story with data worksheets</w:t>
              </w:r>
            </w:hyperlink>
            <w:r>
              <w:t xml:space="preserve"> - slide 4)</w:t>
            </w:r>
          </w:p>
        </w:tc>
      </w:tr>
      <w:tr w:rsidR="003C2AC3" w14:paraId="6E0546BC" w14:textId="77777777">
        <w:tc>
          <w:tcPr>
            <w:tcW w:w="6094" w:type="dxa"/>
            <w:tcBorders>
              <w:top w:val="single" w:sz="6" w:space="0" w:color="A6A6A6"/>
              <w:left w:val="single" w:sz="4" w:space="0" w:color="A6A6A6"/>
              <w:bottom w:val="single" w:sz="6" w:space="0" w:color="A6A6A6"/>
              <w:right w:val="single" w:sz="6" w:space="0" w:color="A6A6A6"/>
            </w:tcBorders>
          </w:tcPr>
          <w:p w14:paraId="05A484C0" w14:textId="77777777" w:rsidR="003C2AC3" w:rsidRDefault="00000000">
            <w:pPr>
              <w:pBdr>
                <w:top w:val="nil"/>
                <w:left w:val="nil"/>
                <w:bottom w:val="nil"/>
                <w:right w:val="nil"/>
                <w:between w:val="nil"/>
              </w:pBdr>
              <w:spacing w:before="40" w:after="40"/>
            </w:pPr>
            <w:r>
              <w:t>Proportion of all household members with household access (one net per two people) who slept under an ITN the previous night</w:t>
            </w:r>
          </w:p>
        </w:tc>
        <w:tc>
          <w:tcPr>
            <w:tcW w:w="823" w:type="dxa"/>
            <w:tcBorders>
              <w:top w:val="single" w:sz="6" w:space="0" w:color="A6A6A6"/>
              <w:left w:val="single" w:sz="6" w:space="0" w:color="A6A6A6"/>
              <w:bottom w:val="single" w:sz="6" w:space="0" w:color="A6A6A6"/>
              <w:right w:val="single" w:sz="6" w:space="0" w:color="A6A6A6"/>
            </w:tcBorders>
          </w:tcPr>
          <w:p w14:paraId="1385630A"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7F352D54"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3618E049"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7361123B" w14:textId="77777777" w:rsidR="003C2AC3" w:rsidRDefault="003C2AC3">
            <w:pPr>
              <w:pBdr>
                <w:top w:val="nil"/>
                <w:left w:val="nil"/>
                <w:bottom w:val="nil"/>
                <w:right w:val="nil"/>
                <w:between w:val="nil"/>
              </w:pBdr>
              <w:spacing w:before="40" w:after="40"/>
            </w:pPr>
          </w:p>
        </w:tc>
      </w:tr>
      <w:tr w:rsidR="003C2AC3" w14:paraId="53E46115" w14:textId="77777777">
        <w:tc>
          <w:tcPr>
            <w:tcW w:w="6094" w:type="dxa"/>
            <w:tcBorders>
              <w:top w:val="single" w:sz="6" w:space="0" w:color="A6A6A6"/>
              <w:left w:val="single" w:sz="4" w:space="0" w:color="A6A6A6"/>
              <w:bottom w:val="single" w:sz="6" w:space="0" w:color="A6A6A6"/>
              <w:right w:val="single" w:sz="6" w:space="0" w:color="A6A6A6"/>
            </w:tcBorders>
          </w:tcPr>
          <w:p w14:paraId="5B778A50" w14:textId="77777777" w:rsidR="003C2AC3" w:rsidRDefault="00000000">
            <w:pPr>
              <w:pBdr>
                <w:top w:val="nil"/>
                <w:left w:val="nil"/>
                <w:bottom w:val="nil"/>
                <w:right w:val="nil"/>
                <w:between w:val="nil"/>
              </w:pBdr>
              <w:spacing w:before="40" w:after="40"/>
            </w:pPr>
            <w:r>
              <w:t>Proportion of all household members who slept under an ITN the previous night</w:t>
            </w:r>
          </w:p>
        </w:tc>
        <w:tc>
          <w:tcPr>
            <w:tcW w:w="823" w:type="dxa"/>
            <w:tcBorders>
              <w:top w:val="single" w:sz="6" w:space="0" w:color="A6A6A6"/>
              <w:left w:val="single" w:sz="6" w:space="0" w:color="A6A6A6"/>
              <w:bottom w:val="single" w:sz="6" w:space="0" w:color="A6A6A6"/>
              <w:right w:val="single" w:sz="6" w:space="0" w:color="A6A6A6"/>
            </w:tcBorders>
          </w:tcPr>
          <w:p w14:paraId="14020E2F"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2DE6E2DD"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0D99FE32"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67B989B2" w14:textId="77777777" w:rsidR="003C2AC3" w:rsidRDefault="003C2AC3">
            <w:pPr>
              <w:pBdr>
                <w:top w:val="nil"/>
                <w:left w:val="nil"/>
                <w:bottom w:val="nil"/>
                <w:right w:val="nil"/>
                <w:between w:val="nil"/>
              </w:pBdr>
              <w:spacing w:before="40" w:after="40"/>
            </w:pPr>
          </w:p>
        </w:tc>
      </w:tr>
      <w:tr w:rsidR="003C2AC3" w14:paraId="5B20B487" w14:textId="77777777">
        <w:tc>
          <w:tcPr>
            <w:tcW w:w="6094" w:type="dxa"/>
            <w:tcBorders>
              <w:top w:val="single" w:sz="6" w:space="0" w:color="A6A6A6"/>
              <w:left w:val="single" w:sz="4" w:space="0" w:color="A6A6A6"/>
              <w:bottom w:val="single" w:sz="6" w:space="0" w:color="A6A6A6"/>
              <w:right w:val="single" w:sz="6" w:space="0" w:color="A6A6A6"/>
            </w:tcBorders>
          </w:tcPr>
          <w:p w14:paraId="7B6D4049" w14:textId="77777777" w:rsidR="003C2AC3" w:rsidRDefault="00000000">
            <w:pPr>
              <w:pBdr>
                <w:top w:val="nil"/>
                <w:left w:val="nil"/>
                <w:bottom w:val="nil"/>
                <w:right w:val="nil"/>
                <w:between w:val="nil"/>
              </w:pBdr>
              <w:spacing w:before="40" w:after="40"/>
            </w:pPr>
            <w:r>
              <w:t>Proportion of children under five years of age who slept under an ITN the previous night</w:t>
            </w:r>
          </w:p>
        </w:tc>
        <w:tc>
          <w:tcPr>
            <w:tcW w:w="823" w:type="dxa"/>
            <w:tcBorders>
              <w:top w:val="single" w:sz="6" w:space="0" w:color="A6A6A6"/>
              <w:left w:val="single" w:sz="6" w:space="0" w:color="A6A6A6"/>
              <w:bottom w:val="single" w:sz="6" w:space="0" w:color="A6A6A6"/>
              <w:right w:val="single" w:sz="6" w:space="0" w:color="A6A6A6"/>
            </w:tcBorders>
          </w:tcPr>
          <w:p w14:paraId="294832AC"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1CCB797"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35AC0428"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23284661" w14:textId="77777777" w:rsidR="003C2AC3" w:rsidRDefault="003C2AC3">
            <w:pPr>
              <w:pBdr>
                <w:top w:val="nil"/>
                <w:left w:val="nil"/>
                <w:bottom w:val="nil"/>
                <w:right w:val="nil"/>
                <w:between w:val="nil"/>
              </w:pBdr>
              <w:spacing w:before="40" w:after="40"/>
            </w:pPr>
          </w:p>
        </w:tc>
      </w:tr>
      <w:tr w:rsidR="003C2AC3" w14:paraId="1D69B85A" w14:textId="77777777">
        <w:tc>
          <w:tcPr>
            <w:tcW w:w="6094" w:type="dxa"/>
            <w:tcBorders>
              <w:top w:val="single" w:sz="6" w:space="0" w:color="A6A6A6"/>
              <w:left w:val="single" w:sz="4" w:space="0" w:color="A6A6A6"/>
              <w:bottom w:val="single" w:sz="6" w:space="0" w:color="A6A6A6"/>
              <w:right w:val="single" w:sz="6" w:space="0" w:color="A6A6A6"/>
            </w:tcBorders>
          </w:tcPr>
          <w:p w14:paraId="10BA8F37" w14:textId="77777777" w:rsidR="003C2AC3" w:rsidRDefault="00000000">
            <w:pPr>
              <w:pBdr>
                <w:top w:val="nil"/>
                <w:left w:val="nil"/>
                <w:bottom w:val="nil"/>
                <w:right w:val="nil"/>
                <w:between w:val="nil"/>
              </w:pBdr>
              <w:spacing w:before="40" w:after="40"/>
            </w:pPr>
            <w:r>
              <w:t>Proportion of women 15-49 who slept under an ITN the night before the survey</w:t>
            </w:r>
          </w:p>
        </w:tc>
        <w:tc>
          <w:tcPr>
            <w:tcW w:w="823" w:type="dxa"/>
            <w:tcBorders>
              <w:top w:val="single" w:sz="6" w:space="0" w:color="A6A6A6"/>
              <w:left w:val="single" w:sz="6" w:space="0" w:color="A6A6A6"/>
              <w:bottom w:val="single" w:sz="6" w:space="0" w:color="A6A6A6"/>
              <w:right w:val="single" w:sz="6" w:space="0" w:color="A6A6A6"/>
            </w:tcBorders>
          </w:tcPr>
          <w:p w14:paraId="6014E13C"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1C1193BD"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695D8470"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43AEA12B" w14:textId="77777777" w:rsidR="003C2AC3" w:rsidRDefault="003C2AC3">
            <w:pPr>
              <w:pBdr>
                <w:top w:val="nil"/>
                <w:left w:val="nil"/>
                <w:bottom w:val="nil"/>
                <w:right w:val="nil"/>
                <w:between w:val="nil"/>
              </w:pBdr>
              <w:spacing w:before="40" w:after="40"/>
            </w:pPr>
          </w:p>
        </w:tc>
      </w:tr>
      <w:tr w:rsidR="003C2AC3" w14:paraId="5380BB0A" w14:textId="77777777">
        <w:tc>
          <w:tcPr>
            <w:tcW w:w="6094" w:type="dxa"/>
            <w:tcBorders>
              <w:top w:val="single" w:sz="6" w:space="0" w:color="A6A6A6"/>
              <w:left w:val="single" w:sz="4" w:space="0" w:color="A6A6A6"/>
              <w:bottom w:val="single" w:sz="6" w:space="0" w:color="A6A6A6"/>
              <w:right w:val="single" w:sz="6" w:space="0" w:color="A6A6A6"/>
            </w:tcBorders>
          </w:tcPr>
          <w:p w14:paraId="7BD22457" w14:textId="77777777" w:rsidR="003C2AC3" w:rsidRDefault="00000000">
            <w:pPr>
              <w:pBdr>
                <w:top w:val="nil"/>
                <w:left w:val="nil"/>
                <w:bottom w:val="nil"/>
                <w:right w:val="nil"/>
                <w:between w:val="nil"/>
              </w:pBdr>
              <w:spacing w:before="40" w:after="40"/>
            </w:pPr>
            <w:r>
              <w:t>Proportion of all household members who sleep under an ITN every night</w:t>
            </w:r>
          </w:p>
        </w:tc>
        <w:tc>
          <w:tcPr>
            <w:tcW w:w="823" w:type="dxa"/>
            <w:tcBorders>
              <w:top w:val="single" w:sz="6" w:space="0" w:color="A6A6A6"/>
              <w:left w:val="single" w:sz="6" w:space="0" w:color="A6A6A6"/>
              <w:bottom w:val="single" w:sz="6" w:space="0" w:color="A6A6A6"/>
              <w:right w:val="single" w:sz="6" w:space="0" w:color="A6A6A6"/>
            </w:tcBorders>
          </w:tcPr>
          <w:p w14:paraId="47C92108"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0A04FA77"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7C095070"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0C5FD526" w14:textId="77777777" w:rsidR="003C2AC3" w:rsidRDefault="003C2AC3">
            <w:pPr>
              <w:pBdr>
                <w:top w:val="nil"/>
                <w:left w:val="nil"/>
                <w:bottom w:val="nil"/>
                <w:right w:val="nil"/>
                <w:between w:val="nil"/>
              </w:pBdr>
              <w:spacing w:before="40" w:after="40"/>
            </w:pPr>
          </w:p>
        </w:tc>
      </w:tr>
      <w:tr w:rsidR="003C2AC3" w14:paraId="39C32DFB" w14:textId="77777777">
        <w:tc>
          <w:tcPr>
            <w:tcW w:w="6094" w:type="dxa"/>
            <w:tcBorders>
              <w:top w:val="single" w:sz="6" w:space="0" w:color="A6A6A6"/>
              <w:left w:val="single" w:sz="4" w:space="0" w:color="A6A6A6"/>
              <w:bottom w:val="single" w:sz="6" w:space="0" w:color="A6A6A6"/>
              <w:right w:val="single" w:sz="6" w:space="0" w:color="A6A6A6"/>
            </w:tcBorders>
          </w:tcPr>
          <w:p w14:paraId="0C945D3B" w14:textId="77777777" w:rsidR="003C2AC3" w:rsidRDefault="00000000">
            <w:pPr>
              <w:pBdr>
                <w:top w:val="nil"/>
                <w:left w:val="nil"/>
                <w:bottom w:val="nil"/>
                <w:right w:val="nil"/>
                <w:between w:val="nil"/>
              </w:pBdr>
              <w:spacing w:before="40" w:after="40"/>
            </w:pPr>
            <w:r>
              <w:t>Proportion of ITNs found hanging and folded up or tied when not in use</w:t>
            </w:r>
          </w:p>
        </w:tc>
        <w:tc>
          <w:tcPr>
            <w:tcW w:w="823" w:type="dxa"/>
            <w:tcBorders>
              <w:top w:val="single" w:sz="6" w:space="0" w:color="A6A6A6"/>
              <w:left w:val="single" w:sz="6" w:space="0" w:color="A6A6A6"/>
              <w:bottom w:val="single" w:sz="6" w:space="0" w:color="A6A6A6"/>
              <w:right w:val="single" w:sz="6" w:space="0" w:color="A6A6A6"/>
            </w:tcBorders>
          </w:tcPr>
          <w:p w14:paraId="32C957CF"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713A5C97"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66FEF621"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E3531C5" w14:textId="77777777" w:rsidR="003C2AC3" w:rsidRDefault="003C2AC3">
            <w:pPr>
              <w:pBdr>
                <w:top w:val="nil"/>
                <w:left w:val="nil"/>
                <w:bottom w:val="nil"/>
                <w:right w:val="nil"/>
                <w:between w:val="nil"/>
              </w:pBdr>
              <w:spacing w:before="40" w:after="40"/>
            </w:pPr>
          </w:p>
        </w:tc>
      </w:tr>
      <w:tr w:rsidR="003C2AC3" w14:paraId="5CF90B89" w14:textId="77777777">
        <w:tc>
          <w:tcPr>
            <w:tcW w:w="6094" w:type="dxa"/>
            <w:tcBorders>
              <w:top w:val="single" w:sz="6" w:space="0" w:color="A6A6A6"/>
              <w:left w:val="single" w:sz="4" w:space="0" w:color="A6A6A6"/>
              <w:bottom w:val="single" w:sz="6" w:space="0" w:color="A6A6A6"/>
              <w:right w:val="single" w:sz="6" w:space="0" w:color="A6A6A6"/>
            </w:tcBorders>
          </w:tcPr>
          <w:p w14:paraId="0FC7C0BE" w14:textId="77777777" w:rsidR="003C2AC3" w:rsidRDefault="00000000">
            <w:pPr>
              <w:pBdr>
                <w:top w:val="nil"/>
                <w:left w:val="nil"/>
                <w:bottom w:val="nil"/>
                <w:right w:val="nil"/>
                <w:between w:val="nil"/>
              </w:pBdr>
              <w:spacing w:before="40" w:after="40"/>
            </w:pPr>
            <w:r>
              <w:t>Proportion of respondents who washed their ITN not more than four times a year</w:t>
            </w:r>
          </w:p>
        </w:tc>
        <w:tc>
          <w:tcPr>
            <w:tcW w:w="823" w:type="dxa"/>
            <w:tcBorders>
              <w:top w:val="single" w:sz="6" w:space="0" w:color="A6A6A6"/>
              <w:left w:val="single" w:sz="6" w:space="0" w:color="A6A6A6"/>
              <w:bottom w:val="single" w:sz="6" w:space="0" w:color="A6A6A6"/>
              <w:right w:val="single" w:sz="6" w:space="0" w:color="A6A6A6"/>
            </w:tcBorders>
          </w:tcPr>
          <w:p w14:paraId="7D39E23B"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30A8EDE4"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BBB126D"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32BECE31" w14:textId="77777777" w:rsidR="003C2AC3" w:rsidRDefault="003C2AC3">
            <w:pPr>
              <w:pBdr>
                <w:top w:val="nil"/>
                <w:left w:val="nil"/>
                <w:bottom w:val="nil"/>
                <w:right w:val="nil"/>
                <w:between w:val="nil"/>
              </w:pBdr>
              <w:spacing w:before="40" w:after="40"/>
            </w:pPr>
          </w:p>
        </w:tc>
      </w:tr>
      <w:tr w:rsidR="003C2AC3" w14:paraId="3EC50F4B" w14:textId="77777777">
        <w:tc>
          <w:tcPr>
            <w:tcW w:w="6094" w:type="dxa"/>
            <w:tcBorders>
              <w:top w:val="single" w:sz="6" w:space="0" w:color="A6A6A6"/>
              <w:left w:val="single" w:sz="4" w:space="0" w:color="A6A6A6"/>
              <w:bottom w:val="single" w:sz="6" w:space="0" w:color="A6A6A6"/>
              <w:right w:val="single" w:sz="6" w:space="0" w:color="A6A6A6"/>
            </w:tcBorders>
          </w:tcPr>
          <w:p w14:paraId="593C6986" w14:textId="77777777" w:rsidR="003C2AC3" w:rsidRDefault="00000000">
            <w:pPr>
              <w:pBdr>
                <w:top w:val="nil"/>
                <w:left w:val="nil"/>
                <w:bottom w:val="nil"/>
                <w:right w:val="nil"/>
                <w:between w:val="nil"/>
              </w:pBdr>
              <w:spacing w:before="40" w:after="40"/>
            </w:pPr>
            <w:r>
              <w:t>Proportion of respondents who have washed their ITN once in the past year</w:t>
            </w:r>
          </w:p>
        </w:tc>
        <w:tc>
          <w:tcPr>
            <w:tcW w:w="823" w:type="dxa"/>
            <w:tcBorders>
              <w:top w:val="single" w:sz="6" w:space="0" w:color="A6A6A6"/>
              <w:left w:val="single" w:sz="6" w:space="0" w:color="A6A6A6"/>
              <w:bottom w:val="single" w:sz="6" w:space="0" w:color="A6A6A6"/>
              <w:right w:val="single" w:sz="6" w:space="0" w:color="A6A6A6"/>
            </w:tcBorders>
          </w:tcPr>
          <w:p w14:paraId="7DA922F3"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CAECC58"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38E246C7"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BC20EF7" w14:textId="77777777" w:rsidR="003C2AC3" w:rsidRDefault="003C2AC3">
            <w:pPr>
              <w:pBdr>
                <w:top w:val="nil"/>
                <w:left w:val="nil"/>
                <w:bottom w:val="nil"/>
                <w:right w:val="nil"/>
                <w:between w:val="nil"/>
              </w:pBdr>
              <w:spacing w:before="40" w:after="40"/>
            </w:pPr>
          </w:p>
        </w:tc>
      </w:tr>
      <w:tr w:rsidR="003C2AC3" w14:paraId="7659FE6E" w14:textId="77777777">
        <w:tc>
          <w:tcPr>
            <w:tcW w:w="6094" w:type="dxa"/>
            <w:tcBorders>
              <w:top w:val="single" w:sz="6" w:space="0" w:color="A6A6A6"/>
              <w:left w:val="single" w:sz="4" w:space="0" w:color="A6A6A6"/>
              <w:bottom w:val="single" w:sz="6" w:space="0" w:color="A6A6A6"/>
              <w:right w:val="single" w:sz="6" w:space="0" w:color="A6A6A6"/>
            </w:tcBorders>
          </w:tcPr>
          <w:p w14:paraId="28E889DD" w14:textId="77777777" w:rsidR="003C2AC3" w:rsidRDefault="00000000">
            <w:pPr>
              <w:pBdr>
                <w:top w:val="nil"/>
                <w:left w:val="nil"/>
                <w:bottom w:val="nil"/>
                <w:right w:val="nil"/>
                <w:between w:val="nil"/>
              </w:pBdr>
              <w:spacing w:before="40" w:after="40"/>
            </w:pPr>
            <w:r>
              <w:t>Proportion of respondents who have washed their ITN with powder, liquid soap, bar soap, bleach, or simple water</w:t>
            </w:r>
          </w:p>
        </w:tc>
        <w:tc>
          <w:tcPr>
            <w:tcW w:w="823" w:type="dxa"/>
            <w:tcBorders>
              <w:top w:val="single" w:sz="6" w:space="0" w:color="A6A6A6"/>
              <w:left w:val="single" w:sz="6" w:space="0" w:color="A6A6A6"/>
              <w:bottom w:val="single" w:sz="6" w:space="0" w:color="A6A6A6"/>
              <w:right w:val="single" w:sz="6" w:space="0" w:color="A6A6A6"/>
            </w:tcBorders>
          </w:tcPr>
          <w:p w14:paraId="7BFDA00C"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4BF1F87A"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1CD62D93"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F9F1E4B" w14:textId="77777777" w:rsidR="003C2AC3" w:rsidRDefault="003C2AC3">
            <w:pPr>
              <w:pBdr>
                <w:top w:val="nil"/>
                <w:left w:val="nil"/>
                <w:bottom w:val="nil"/>
                <w:right w:val="nil"/>
                <w:between w:val="nil"/>
              </w:pBdr>
              <w:spacing w:before="40" w:after="40"/>
            </w:pPr>
          </w:p>
        </w:tc>
      </w:tr>
      <w:tr w:rsidR="003C2AC3" w14:paraId="076E7261" w14:textId="77777777">
        <w:tc>
          <w:tcPr>
            <w:tcW w:w="6094" w:type="dxa"/>
            <w:tcBorders>
              <w:top w:val="single" w:sz="6" w:space="0" w:color="A6A6A6"/>
              <w:left w:val="single" w:sz="4" w:space="0" w:color="A6A6A6"/>
              <w:bottom w:val="single" w:sz="6" w:space="0" w:color="A6A6A6"/>
              <w:right w:val="single" w:sz="6" w:space="0" w:color="A6A6A6"/>
            </w:tcBorders>
          </w:tcPr>
          <w:p w14:paraId="7582C455" w14:textId="77777777" w:rsidR="003C2AC3" w:rsidRDefault="00000000">
            <w:pPr>
              <w:pBdr>
                <w:top w:val="nil"/>
                <w:left w:val="nil"/>
                <w:bottom w:val="nil"/>
                <w:right w:val="nil"/>
                <w:between w:val="nil"/>
              </w:pBdr>
              <w:spacing w:before="40" w:after="40"/>
            </w:pPr>
            <w:r>
              <w:t>Proportion of respondents who dry their ITN in the sun or shade</w:t>
            </w:r>
          </w:p>
        </w:tc>
        <w:tc>
          <w:tcPr>
            <w:tcW w:w="823" w:type="dxa"/>
            <w:tcBorders>
              <w:top w:val="single" w:sz="6" w:space="0" w:color="A6A6A6"/>
              <w:left w:val="single" w:sz="6" w:space="0" w:color="A6A6A6"/>
              <w:bottom w:val="single" w:sz="6" w:space="0" w:color="A6A6A6"/>
              <w:right w:val="single" w:sz="6" w:space="0" w:color="A6A6A6"/>
            </w:tcBorders>
          </w:tcPr>
          <w:p w14:paraId="34B2F32E"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02800C1"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29B1CC2C"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24F28895" w14:textId="77777777" w:rsidR="003C2AC3" w:rsidRDefault="003C2AC3">
            <w:pPr>
              <w:pBdr>
                <w:top w:val="nil"/>
                <w:left w:val="nil"/>
                <w:bottom w:val="nil"/>
                <w:right w:val="nil"/>
                <w:between w:val="nil"/>
              </w:pBdr>
              <w:spacing w:before="40" w:after="40"/>
            </w:pPr>
          </w:p>
        </w:tc>
      </w:tr>
      <w:tr w:rsidR="003C2AC3" w14:paraId="5819EDDB" w14:textId="77777777">
        <w:tc>
          <w:tcPr>
            <w:tcW w:w="6094" w:type="dxa"/>
            <w:tcBorders>
              <w:top w:val="single" w:sz="6" w:space="0" w:color="A6A6A6"/>
              <w:left w:val="single" w:sz="4" w:space="0" w:color="A6A6A6"/>
              <w:bottom w:val="single" w:sz="6" w:space="0" w:color="A6A6A6"/>
              <w:right w:val="single" w:sz="6" w:space="0" w:color="A6A6A6"/>
            </w:tcBorders>
          </w:tcPr>
          <w:p w14:paraId="3326BA32" w14:textId="77777777" w:rsidR="003C2AC3" w:rsidRDefault="00000000">
            <w:pPr>
              <w:pBdr>
                <w:top w:val="nil"/>
                <w:left w:val="nil"/>
                <w:bottom w:val="nil"/>
                <w:right w:val="nil"/>
                <w:between w:val="nil"/>
              </w:pBdr>
              <w:spacing w:before="40" w:after="40"/>
            </w:pPr>
            <w:r>
              <w:t>Proportion of respondents who slept under an ITN while traveling</w:t>
            </w:r>
          </w:p>
        </w:tc>
        <w:tc>
          <w:tcPr>
            <w:tcW w:w="823" w:type="dxa"/>
            <w:tcBorders>
              <w:top w:val="single" w:sz="6" w:space="0" w:color="A6A6A6"/>
              <w:left w:val="single" w:sz="6" w:space="0" w:color="A6A6A6"/>
              <w:bottom w:val="single" w:sz="6" w:space="0" w:color="A6A6A6"/>
              <w:right w:val="single" w:sz="6" w:space="0" w:color="A6A6A6"/>
            </w:tcBorders>
          </w:tcPr>
          <w:p w14:paraId="6FC1EA86"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7D4F1920"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5E83E9F8" w14:textId="77777777" w:rsidR="003C2AC3" w:rsidRDefault="003C2AC3">
            <w:pPr>
              <w:pBdr>
                <w:top w:val="nil"/>
                <w:left w:val="nil"/>
                <w:bottom w:val="nil"/>
                <w:right w:val="nil"/>
                <w:between w:val="nil"/>
              </w:pBdr>
              <w:spacing w:before="40" w:after="40"/>
            </w:pPr>
          </w:p>
        </w:tc>
        <w:tc>
          <w:tcPr>
            <w:tcW w:w="811" w:type="dxa"/>
            <w:tcBorders>
              <w:top w:val="single" w:sz="6" w:space="0" w:color="A6A6A6"/>
              <w:left w:val="single" w:sz="6" w:space="0" w:color="A6A6A6"/>
              <w:bottom w:val="single" w:sz="6" w:space="0" w:color="A6A6A6"/>
              <w:right w:val="single" w:sz="4" w:space="0" w:color="A6A6A6"/>
            </w:tcBorders>
          </w:tcPr>
          <w:p w14:paraId="05B3A6FD" w14:textId="77777777" w:rsidR="003C2AC3" w:rsidRDefault="003C2AC3">
            <w:pPr>
              <w:pBdr>
                <w:top w:val="nil"/>
                <w:left w:val="nil"/>
                <w:bottom w:val="nil"/>
                <w:right w:val="nil"/>
                <w:between w:val="nil"/>
              </w:pBdr>
              <w:spacing w:before="40" w:after="40"/>
            </w:pPr>
          </w:p>
        </w:tc>
      </w:tr>
    </w:tbl>
    <w:p w14:paraId="75C6E25E" w14:textId="77777777" w:rsidR="003C2AC3" w:rsidRDefault="00000000">
      <w:r>
        <w:lastRenderedPageBreak/>
        <w:br w:type="page"/>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6"/>
        <w:gridCol w:w="1216"/>
        <w:gridCol w:w="1216"/>
        <w:gridCol w:w="1216"/>
        <w:gridCol w:w="1216"/>
      </w:tblGrid>
      <w:tr w:rsidR="003C2AC3" w14:paraId="3BD3D271"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69E71AFE" w14:textId="77777777" w:rsidR="003C2AC3" w:rsidRDefault="00000000">
            <w:pPr>
              <w:pBdr>
                <w:top w:val="nil"/>
                <w:left w:val="nil"/>
                <w:bottom w:val="nil"/>
                <w:right w:val="nil"/>
                <w:between w:val="nil"/>
              </w:pBdr>
              <w:spacing w:before="40" w:after="40"/>
              <w:jc w:val="center"/>
              <w:rPr>
                <w:b/>
              </w:rPr>
            </w:pPr>
            <w:r>
              <w:rPr>
                <w:b/>
              </w:rPr>
              <w:lastRenderedPageBreak/>
              <w:t xml:space="preserve">Determinants of behavior </w:t>
            </w:r>
          </w:p>
          <w:p w14:paraId="62038360" w14:textId="77777777" w:rsidR="003C2AC3" w:rsidRDefault="00000000">
            <w:pPr>
              <w:pBdr>
                <w:top w:val="nil"/>
                <w:left w:val="nil"/>
                <w:bottom w:val="nil"/>
                <w:right w:val="nil"/>
                <w:between w:val="nil"/>
              </w:pBdr>
              <w:spacing w:before="40" w:after="40"/>
              <w:jc w:val="center"/>
            </w:pPr>
            <w:r>
              <w:t xml:space="preserve">(inset these indicators into the </w:t>
            </w:r>
            <w:r>
              <w:rPr>
                <w:u w:val="single"/>
              </w:rPr>
              <w:t>behavior analysis</w:t>
            </w:r>
            <w:r>
              <w:t xml:space="preserve"> polygons in the </w:t>
            </w:r>
            <w:hyperlink r:id="rId12">
              <w:r>
                <w:rPr>
                  <w:color w:val="1155CC"/>
                  <w:u w:val="single"/>
                </w:rPr>
                <w:t xml:space="preserve">ITN Use tell-a-story with data worksheet- </w:t>
              </w:r>
            </w:hyperlink>
            <w:r>
              <w:t>slides 15 and 16)</w:t>
            </w:r>
          </w:p>
        </w:tc>
      </w:tr>
      <w:tr w:rsidR="003C2AC3" w14:paraId="63BAECDD" w14:textId="77777777">
        <w:tc>
          <w:tcPr>
            <w:tcW w:w="4486" w:type="dxa"/>
            <w:tcBorders>
              <w:top w:val="nil"/>
              <w:left w:val="single" w:sz="4" w:space="0" w:color="A6A6A6"/>
              <w:bottom w:val="single" w:sz="6" w:space="0" w:color="A6A6A6"/>
              <w:right w:val="single" w:sz="6" w:space="0" w:color="A6A6A6"/>
            </w:tcBorders>
            <w:shd w:val="clear" w:color="auto" w:fill="EDEDED"/>
          </w:tcPr>
          <w:p w14:paraId="483D075A" w14:textId="77777777" w:rsidR="003C2AC3" w:rsidRDefault="00000000">
            <w:pPr>
              <w:spacing w:before="40" w:after="40"/>
              <w:rPr>
                <w:smallCaps/>
              </w:rPr>
            </w:pPr>
            <w:r>
              <w:rPr>
                <w:smallCaps/>
              </w:rPr>
              <w:t>Indicator</w:t>
            </w:r>
          </w:p>
        </w:tc>
        <w:tc>
          <w:tcPr>
            <w:tcW w:w="1216" w:type="dxa"/>
            <w:tcBorders>
              <w:top w:val="nil"/>
              <w:left w:val="single" w:sz="6" w:space="0" w:color="A6A6A6"/>
              <w:bottom w:val="single" w:sz="6" w:space="0" w:color="A6A6A6"/>
              <w:right w:val="single" w:sz="6" w:space="0" w:color="A6A6A6"/>
            </w:tcBorders>
            <w:shd w:val="clear" w:color="auto" w:fill="EDEDED"/>
          </w:tcPr>
          <w:p w14:paraId="684FDA6A" w14:textId="77777777" w:rsidR="003C2AC3" w:rsidRDefault="00000000">
            <w:pPr>
              <w:spacing w:before="40" w:after="40"/>
              <w:jc w:val="center"/>
              <w:rPr>
                <w:smallCaps/>
              </w:rPr>
            </w:pPr>
            <w:proofErr w:type="spellStart"/>
            <w:r>
              <w:rPr>
                <w:smallCaps/>
              </w:rPr>
              <w:t>kap</w:t>
            </w:r>
            <w:proofErr w:type="spellEnd"/>
            <w:r>
              <w:rPr>
                <w:smallCaps/>
              </w:rPr>
              <w:t>-year</w:t>
            </w:r>
          </w:p>
          <w:p w14:paraId="5A7B02BA" w14:textId="77777777" w:rsidR="003C2AC3" w:rsidRDefault="00000000">
            <w:pPr>
              <w:spacing w:before="40" w:after="40"/>
              <w:jc w:val="center"/>
              <w:rPr>
                <w:smallCaps/>
              </w:rPr>
            </w:pPr>
            <w:r>
              <w:rPr>
                <w:smallCaps/>
              </w:rPr>
              <w:t>location</w:t>
            </w:r>
          </w:p>
        </w:tc>
        <w:tc>
          <w:tcPr>
            <w:tcW w:w="1216" w:type="dxa"/>
            <w:tcBorders>
              <w:top w:val="nil"/>
              <w:left w:val="single" w:sz="6" w:space="0" w:color="A6A6A6"/>
              <w:bottom w:val="single" w:sz="6" w:space="0" w:color="A6A6A6"/>
              <w:right w:val="single" w:sz="4" w:space="0" w:color="A6A6A6"/>
            </w:tcBorders>
            <w:shd w:val="clear" w:color="auto" w:fill="EDEDED"/>
          </w:tcPr>
          <w:p w14:paraId="3C247AD4" w14:textId="77777777" w:rsidR="003C2AC3" w:rsidRDefault="00000000">
            <w:pPr>
              <w:spacing w:before="40" w:after="40"/>
              <w:jc w:val="center"/>
              <w:rPr>
                <w:smallCaps/>
              </w:rPr>
            </w:pPr>
            <w:proofErr w:type="spellStart"/>
            <w:r>
              <w:rPr>
                <w:smallCaps/>
              </w:rPr>
              <w:t>kap</w:t>
            </w:r>
            <w:proofErr w:type="spellEnd"/>
            <w:r>
              <w:rPr>
                <w:smallCaps/>
              </w:rPr>
              <w:t>-year</w:t>
            </w:r>
          </w:p>
          <w:p w14:paraId="5E88E803" w14:textId="77777777" w:rsidR="003C2AC3" w:rsidRDefault="00000000">
            <w:pPr>
              <w:spacing w:before="40" w:after="40"/>
              <w:jc w:val="center"/>
              <w:rPr>
                <w:smallCaps/>
              </w:rPr>
            </w:pPr>
            <w:r>
              <w:rPr>
                <w:smallCaps/>
              </w:rPr>
              <w:t>location</w:t>
            </w:r>
          </w:p>
        </w:tc>
        <w:tc>
          <w:tcPr>
            <w:tcW w:w="1216" w:type="dxa"/>
            <w:tcBorders>
              <w:top w:val="nil"/>
              <w:left w:val="single" w:sz="6" w:space="0" w:color="A6A6A6"/>
              <w:bottom w:val="single" w:sz="6" w:space="0" w:color="A6A6A6"/>
              <w:right w:val="single" w:sz="4" w:space="0" w:color="A6A6A6"/>
            </w:tcBorders>
            <w:shd w:val="clear" w:color="auto" w:fill="EDEDED"/>
          </w:tcPr>
          <w:p w14:paraId="4539A27E" w14:textId="77777777" w:rsidR="003C2AC3" w:rsidRDefault="00000000">
            <w:pPr>
              <w:spacing w:before="40" w:after="40"/>
              <w:jc w:val="center"/>
              <w:rPr>
                <w:smallCaps/>
              </w:rPr>
            </w:pPr>
            <w:proofErr w:type="spellStart"/>
            <w:r>
              <w:rPr>
                <w:smallCaps/>
              </w:rPr>
              <w:t>kap</w:t>
            </w:r>
            <w:proofErr w:type="spellEnd"/>
            <w:r>
              <w:rPr>
                <w:smallCaps/>
              </w:rPr>
              <w:t>-year</w:t>
            </w:r>
          </w:p>
          <w:p w14:paraId="4F1B88B9" w14:textId="77777777" w:rsidR="003C2AC3" w:rsidRDefault="00000000">
            <w:pPr>
              <w:spacing w:before="40" w:after="40"/>
              <w:jc w:val="center"/>
              <w:rPr>
                <w:smallCaps/>
              </w:rPr>
            </w:pPr>
            <w:r>
              <w:rPr>
                <w:smallCaps/>
              </w:rPr>
              <w:t>location</w:t>
            </w:r>
          </w:p>
        </w:tc>
        <w:tc>
          <w:tcPr>
            <w:tcW w:w="1216" w:type="dxa"/>
            <w:tcBorders>
              <w:top w:val="nil"/>
              <w:left w:val="single" w:sz="6" w:space="0" w:color="A6A6A6"/>
              <w:bottom w:val="single" w:sz="6" w:space="0" w:color="A6A6A6"/>
              <w:right w:val="single" w:sz="4" w:space="0" w:color="A6A6A6"/>
            </w:tcBorders>
            <w:shd w:val="clear" w:color="auto" w:fill="EDEDED"/>
          </w:tcPr>
          <w:p w14:paraId="6E590FF3" w14:textId="77777777" w:rsidR="003C2AC3" w:rsidRDefault="00000000">
            <w:pPr>
              <w:spacing w:before="40" w:after="40"/>
              <w:jc w:val="center"/>
              <w:rPr>
                <w:smallCaps/>
              </w:rPr>
            </w:pPr>
            <w:proofErr w:type="spellStart"/>
            <w:r>
              <w:rPr>
                <w:smallCaps/>
              </w:rPr>
              <w:t>mbs</w:t>
            </w:r>
            <w:proofErr w:type="spellEnd"/>
            <w:r>
              <w:rPr>
                <w:smallCaps/>
              </w:rPr>
              <w:t>-year</w:t>
            </w:r>
          </w:p>
          <w:p w14:paraId="69C5C8F2" w14:textId="77777777" w:rsidR="003C2AC3" w:rsidRDefault="00000000">
            <w:pPr>
              <w:spacing w:before="40" w:after="40"/>
              <w:jc w:val="center"/>
              <w:rPr>
                <w:smallCaps/>
              </w:rPr>
            </w:pPr>
            <w:r>
              <w:rPr>
                <w:smallCaps/>
              </w:rPr>
              <w:t>location</w:t>
            </w:r>
          </w:p>
        </w:tc>
      </w:tr>
      <w:tr w:rsidR="003C2AC3" w14:paraId="330C3956" w14:textId="77777777">
        <w:trPr>
          <w:trHeight w:val="220"/>
        </w:trPr>
        <w:tc>
          <w:tcPr>
            <w:tcW w:w="9350" w:type="dxa"/>
            <w:gridSpan w:val="5"/>
            <w:tcBorders>
              <w:top w:val="single" w:sz="6" w:space="0" w:color="A6A6A6"/>
              <w:left w:val="single" w:sz="4" w:space="0" w:color="A6A6A6"/>
              <w:bottom w:val="single" w:sz="6" w:space="0" w:color="A6A6A6"/>
              <w:right w:val="single" w:sz="6" w:space="0" w:color="A6A6A6"/>
            </w:tcBorders>
          </w:tcPr>
          <w:p w14:paraId="151DCB48" w14:textId="77777777" w:rsidR="003C2AC3" w:rsidRDefault="00000000">
            <w:pPr>
              <w:pBdr>
                <w:top w:val="nil"/>
                <w:left w:val="nil"/>
                <w:bottom w:val="nil"/>
                <w:right w:val="nil"/>
                <w:between w:val="nil"/>
              </w:pBdr>
              <w:spacing w:before="40" w:after="40"/>
              <w:rPr>
                <w:b/>
              </w:rPr>
            </w:pPr>
            <w:r>
              <w:rPr>
                <w:b/>
              </w:rPr>
              <w:t>Access</w:t>
            </w:r>
          </w:p>
        </w:tc>
      </w:tr>
      <w:tr w:rsidR="003C2AC3" w14:paraId="0D2DDD7A" w14:textId="77777777">
        <w:tc>
          <w:tcPr>
            <w:tcW w:w="4486" w:type="dxa"/>
            <w:tcBorders>
              <w:top w:val="single" w:sz="6" w:space="0" w:color="A6A6A6"/>
              <w:left w:val="single" w:sz="4" w:space="0" w:color="A6A6A6"/>
              <w:bottom w:val="single" w:sz="6" w:space="0" w:color="A6A6A6"/>
              <w:right w:val="single" w:sz="6" w:space="0" w:color="A6A6A6"/>
            </w:tcBorders>
          </w:tcPr>
          <w:p w14:paraId="77006A36" w14:textId="77777777" w:rsidR="003C2AC3" w:rsidRDefault="00000000">
            <w:pPr>
              <w:pBdr>
                <w:top w:val="nil"/>
                <w:left w:val="nil"/>
                <w:bottom w:val="nil"/>
                <w:right w:val="nil"/>
                <w:between w:val="nil"/>
              </w:pBdr>
              <w:spacing w:before="40" w:after="40"/>
            </w:pPr>
            <w:r>
              <w:t xml:space="preserve">Proportion of respondents with household access to an ITN (refer to </w:t>
            </w:r>
            <w:proofErr w:type="spellStart"/>
            <w:r>
              <w:t>use:access</w:t>
            </w:r>
            <w:proofErr w:type="spellEnd"/>
            <w:r>
              <w:t xml:space="preserve"> ratio)</w:t>
            </w:r>
          </w:p>
        </w:tc>
        <w:tc>
          <w:tcPr>
            <w:tcW w:w="1216" w:type="dxa"/>
            <w:tcBorders>
              <w:top w:val="single" w:sz="6" w:space="0" w:color="A6A6A6"/>
              <w:left w:val="single" w:sz="6" w:space="0" w:color="A6A6A6"/>
              <w:bottom w:val="single" w:sz="6" w:space="0" w:color="A6A6A6"/>
              <w:right w:val="single" w:sz="6" w:space="0" w:color="A6A6A6"/>
            </w:tcBorders>
          </w:tcPr>
          <w:p w14:paraId="65F78EE1" w14:textId="77777777" w:rsidR="003C2AC3" w:rsidRDefault="003C2AC3">
            <w:pPr>
              <w:pBdr>
                <w:top w:val="nil"/>
                <w:left w:val="nil"/>
                <w:bottom w:val="nil"/>
                <w:right w:val="nil"/>
                <w:between w:val="nil"/>
              </w:pBdr>
              <w:spacing w:before="40" w:after="40"/>
              <w:jc w:val="center"/>
            </w:pPr>
          </w:p>
        </w:tc>
        <w:tc>
          <w:tcPr>
            <w:tcW w:w="1216" w:type="dxa"/>
            <w:tcBorders>
              <w:top w:val="single" w:sz="6" w:space="0" w:color="A6A6A6"/>
              <w:left w:val="single" w:sz="6" w:space="0" w:color="A6A6A6"/>
              <w:bottom w:val="single" w:sz="6" w:space="0" w:color="A6A6A6"/>
              <w:right w:val="single" w:sz="4" w:space="0" w:color="A6A6A6"/>
            </w:tcBorders>
          </w:tcPr>
          <w:p w14:paraId="653131EA" w14:textId="77777777" w:rsidR="003C2AC3" w:rsidRDefault="003C2AC3">
            <w:pPr>
              <w:pBdr>
                <w:top w:val="nil"/>
                <w:left w:val="nil"/>
                <w:bottom w:val="nil"/>
                <w:right w:val="nil"/>
                <w:between w:val="nil"/>
              </w:pBdr>
              <w:spacing w:before="40" w:after="40"/>
              <w:jc w:val="center"/>
            </w:pPr>
          </w:p>
        </w:tc>
        <w:tc>
          <w:tcPr>
            <w:tcW w:w="1216" w:type="dxa"/>
            <w:tcBorders>
              <w:top w:val="single" w:sz="6" w:space="0" w:color="A6A6A6"/>
              <w:left w:val="single" w:sz="6" w:space="0" w:color="A6A6A6"/>
              <w:bottom w:val="single" w:sz="6" w:space="0" w:color="A6A6A6"/>
              <w:right w:val="single" w:sz="4" w:space="0" w:color="A6A6A6"/>
            </w:tcBorders>
          </w:tcPr>
          <w:p w14:paraId="2B54D898" w14:textId="77777777" w:rsidR="003C2AC3" w:rsidRDefault="003C2AC3">
            <w:pPr>
              <w:pBdr>
                <w:top w:val="nil"/>
                <w:left w:val="nil"/>
                <w:bottom w:val="nil"/>
                <w:right w:val="nil"/>
                <w:between w:val="nil"/>
              </w:pBdr>
              <w:spacing w:before="40" w:after="40"/>
              <w:jc w:val="center"/>
            </w:pPr>
          </w:p>
        </w:tc>
        <w:tc>
          <w:tcPr>
            <w:tcW w:w="1216" w:type="dxa"/>
            <w:tcBorders>
              <w:top w:val="single" w:sz="6" w:space="0" w:color="A6A6A6"/>
              <w:left w:val="single" w:sz="6" w:space="0" w:color="A6A6A6"/>
              <w:bottom w:val="single" w:sz="6" w:space="0" w:color="A6A6A6"/>
              <w:right w:val="single" w:sz="4" w:space="0" w:color="A6A6A6"/>
            </w:tcBorders>
          </w:tcPr>
          <w:p w14:paraId="7105F8FC" w14:textId="77777777" w:rsidR="003C2AC3" w:rsidRDefault="003C2AC3">
            <w:pPr>
              <w:pBdr>
                <w:top w:val="nil"/>
                <w:left w:val="nil"/>
                <w:bottom w:val="nil"/>
                <w:right w:val="nil"/>
                <w:between w:val="nil"/>
              </w:pBdr>
              <w:spacing w:before="40" w:after="40"/>
              <w:jc w:val="center"/>
            </w:pPr>
          </w:p>
        </w:tc>
      </w:tr>
      <w:tr w:rsidR="003C2AC3" w14:paraId="26AC19DA"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33964399" w14:textId="77777777" w:rsidR="003C2AC3" w:rsidRDefault="00000000">
            <w:pPr>
              <w:pBdr>
                <w:top w:val="nil"/>
                <w:left w:val="nil"/>
                <w:bottom w:val="nil"/>
                <w:right w:val="nil"/>
                <w:between w:val="nil"/>
              </w:pBdr>
              <w:spacing w:before="40" w:after="40"/>
              <w:rPr>
                <w:b/>
              </w:rPr>
            </w:pPr>
            <w:r>
              <w:rPr>
                <w:b/>
              </w:rPr>
              <w:t>Knowledge</w:t>
            </w:r>
          </w:p>
        </w:tc>
      </w:tr>
      <w:tr w:rsidR="003C2AC3" w14:paraId="5583F75F" w14:textId="77777777">
        <w:tc>
          <w:tcPr>
            <w:tcW w:w="4486" w:type="dxa"/>
            <w:tcBorders>
              <w:top w:val="single" w:sz="6" w:space="0" w:color="A6A6A6"/>
              <w:left w:val="single" w:sz="4" w:space="0" w:color="A6A6A6"/>
              <w:bottom w:val="single" w:sz="6" w:space="0" w:color="A6A6A6"/>
              <w:right w:val="single" w:sz="6" w:space="0" w:color="A6A6A6"/>
            </w:tcBorders>
          </w:tcPr>
          <w:p w14:paraId="33688ECC" w14:textId="77777777" w:rsidR="003C2AC3" w:rsidRDefault="00000000">
            <w:pPr>
              <w:pBdr>
                <w:top w:val="nil"/>
                <w:left w:val="nil"/>
                <w:bottom w:val="nil"/>
                <w:right w:val="nil"/>
                <w:between w:val="nil"/>
              </w:pBdr>
              <w:spacing w:before="40" w:after="40"/>
            </w:pPr>
            <w:r>
              <w:t>Proportion of respondents who know malaria is transmitted by mosquitoes</w:t>
            </w:r>
          </w:p>
        </w:tc>
        <w:tc>
          <w:tcPr>
            <w:tcW w:w="1216" w:type="dxa"/>
            <w:tcBorders>
              <w:top w:val="single" w:sz="6" w:space="0" w:color="A6A6A6"/>
              <w:left w:val="single" w:sz="6" w:space="0" w:color="A6A6A6"/>
              <w:bottom w:val="single" w:sz="6" w:space="0" w:color="A6A6A6"/>
              <w:right w:val="single" w:sz="6" w:space="0" w:color="A6A6A6"/>
            </w:tcBorders>
          </w:tcPr>
          <w:p w14:paraId="4D3AF057"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9231757"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243475D"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A157DB2" w14:textId="77777777" w:rsidR="003C2AC3" w:rsidRDefault="003C2AC3">
            <w:pPr>
              <w:pBdr>
                <w:top w:val="nil"/>
                <w:left w:val="nil"/>
                <w:bottom w:val="nil"/>
                <w:right w:val="nil"/>
                <w:between w:val="nil"/>
              </w:pBdr>
              <w:spacing w:before="40" w:after="40"/>
            </w:pPr>
          </w:p>
        </w:tc>
      </w:tr>
      <w:tr w:rsidR="003C2AC3" w14:paraId="4078487D" w14:textId="77777777">
        <w:tc>
          <w:tcPr>
            <w:tcW w:w="4486" w:type="dxa"/>
            <w:tcBorders>
              <w:top w:val="single" w:sz="6" w:space="0" w:color="A6A6A6"/>
              <w:left w:val="single" w:sz="4" w:space="0" w:color="A6A6A6"/>
              <w:bottom w:val="single" w:sz="6" w:space="0" w:color="A6A6A6"/>
              <w:right w:val="single" w:sz="6" w:space="0" w:color="A6A6A6"/>
            </w:tcBorders>
          </w:tcPr>
          <w:p w14:paraId="42B5E2F6" w14:textId="77777777" w:rsidR="003C2AC3" w:rsidRDefault="00000000">
            <w:pPr>
              <w:pBdr>
                <w:top w:val="nil"/>
                <w:left w:val="nil"/>
                <w:bottom w:val="nil"/>
                <w:right w:val="nil"/>
                <w:between w:val="nil"/>
              </w:pBdr>
              <w:spacing w:before="40" w:after="40"/>
            </w:pPr>
            <w:r>
              <w:t>Proportion respondents who were aware that an ITN is a malaria prevention method</w:t>
            </w:r>
          </w:p>
        </w:tc>
        <w:tc>
          <w:tcPr>
            <w:tcW w:w="1216" w:type="dxa"/>
            <w:tcBorders>
              <w:top w:val="single" w:sz="6" w:space="0" w:color="A6A6A6"/>
              <w:left w:val="single" w:sz="6" w:space="0" w:color="A6A6A6"/>
              <w:bottom w:val="single" w:sz="6" w:space="0" w:color="A6A6A6"/>
              <w:right w:val="single" w:sz="6" w:space="0" w:color="A6A6A6"/>
            </w:tcBorders>
          </w:tcPr>
          <w:p w14:paraId="56D0BCF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20EE92D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B844201"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BE522E4" w14:textId="77777777" w:rsidR="003C2AC3" w:rsidRDefault="003C2AC3">
            <w:pPr>
              <w:pBdr>
                <w:top w:val="nil"/>
                <w:left w:val="nil"/>
                <w:bottom w:val="nil"/>
                <w:right w:val="nil"/>
                <w:between w:val="nil"/>
              </w:pBdr>
              <w:spacing w:before="40" w:after="40"/>
            </w:pPr>
          </w:p>
        </w:tc>
      </w:tr>
      <w:tr w:rsidR="003C2AC3" w14:paraId="4965B080"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6181BE12" w14:textId="77777777" w:rsidR="003C2AC3" w:rsidRDefault="00000000">
            <w:pPr>
              <w:pBdr>
                <w:top w:val="nil"/>
                <w:left w:val="nil"/>
                <w:bottom w:val="nil"/>
                <w:right w:val="nil"/>
                <w:between w:val="nil"/>
              </w:pBdr>
              <w:spacing w:before="40" w:after="40"/>
              <w:rPr>
                <w:b/>
              </w:rPr>
            </w:pPr>
            <w:r>
              <w:rPr>
                <w:b/>
              </w:rPr>
              <w:t>ITN attitudes</w:t>
            </w:r>
          </w:p>
        </w:tc>
      </w:tr>
      <w:tr w:rsidR="003C2AC3" w14:paraId="7CAAC1AD" w14:textId="77777777">
        <w:tc>
          <w:tcPr>
            <w:tcW w:w="4486" w:type="dxa"/>
            <w:tcBorders>
              <w:top w:val="single" w:sz="6" w:space="0" w:color="A6A6A6"/>
              <w:left w:val="single" w:sz="4" w:space="0" w:color="A6A6A6"/>
              <w:bottom w:val="single" w:sz="6" w:space="0" w:color="A6A6A6"/>
              <w:right w:val="single" w:sz="6" w:space="0" w:color="A6A6A6"/>
            </w:tcBorders>
          </w:tcPr>
          <w:p w14:paraId="5D30F0EB" w14:textId="77777777" w:rsidR="003C2AC3" w:rsidRDefault="00000000">
            <w:pPr>
              <w:pBdr>
                <w:top w:val="nil"/>
                <w:left w:val="nil"/>
                <w:bottom w:val="nil"/>
                <w:right w:val="nil"/>
                <w:between w:val="nil"/>
              </w:pBdr>
              <w:spacing w:before="40" w:after="40"/>
            </w:pPr>
            <w:r>
              <w:t>Proportion of respondents with a favorable attitude toward ITN use</w:t>
            </w:r>
          </w:p>
        </w:tc>
        <w:tc>
          <w:tcPr>
            <w:tcW w:w="1216" w:type="dxa"/>
            <w:tcBorders>
              <w:top w:val="single" w:sz="6" w:space="0" w:color="A6A6A6"/>
              <w:left w:val="single" w:sz="6" w:space="0" w:color="A6A6A6"/>
              <w:bottom w:val="single" w:sz="6" w:space="0" w:color="A6A6A6"/>
              <w:right w:val="single" w:sz="6" w:space="0" w:color="A6A6A6"/>
            </w:tcBorders>
          </w:tcPr>
          <w:p w14:paraId="39976015"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F4DD101"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758093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766C545" w14:textId="77777777" w:rsidR="003C2AC3" w:rsidRDefault="003C2AC3">
            <w:pPr>
              <w:pBdr>
                <w:top w:val="nil"/>
                <w:left w:val="nil"/>
                <w:bottom w:val="nil"/>
                <w:right w:val="nil"/>
                <w:between w:val="nil"/>
              </w:pBdr>
              <w:spacing w:before="40" w:after="40"/>
            </w:pPr>
          </w:p>
        </w:tc>
      </w:tr>
      <w:tr w:rsidR="003C2AC3" w14:paraId="48F70ECF" w14:textId="77777777">
        <w:tc>
          <w:tcPr>
            <w:tcW w:w="4486" w:type="dxa"/>
            <w:tcBorders>
              <w:top w:val="single" w:sz="6" w:space="0" w:color="A6A6A6"/>
              <w:left w:val="single" w:sz="4" w:space="0" w:color="A6A6A6"/>
              <w:bottom w:val="single" w:sz="6" w:space="0" w:color="A6A6A6"/>
              <w:right w:val="single" w:sz="6" w:space="0" w:color="A6A6A6"/>
            </w:tcBorders>
          </w:tcPr>
          <w:p w14:paraId="3DD51357" w14:textId="77777777" w:rsidR="003C2AC3" w:rsidRDefault="00000000">
            <w:pPr>
              <w:pBdr>
                <w:top w:val="nil"/>
                <w:left w:val="nil"/>
                <w:bottom w:val="nil"/>
                <w:right w:val="nil"/>
                <w:between w:val="nil"/>
              </w:pBdr>
              <w:spacing w:before="40" w:after="40"/>
            </w:pPr>
            <w:r>
              <w:t>Proportion of respondents who believe sleeping under an ITN allows a good night’s sleep</w:t>
            </w:r>
          </w:p>
        </w:tc>
        <w:tc>
          <w:tcPr>
            <w:tcW w:w="1216" w:type="dxa"/>
            <w:tcBorders>
              <w:top w:val="single" w:sz="6" w:space="0" w:color="A6A6A6"/>
              <w:left w:val="single" w:sz="6" w:space="0" w:color="A6A6A6"/>
              <w:bottom w:val="single" w:sz="6" w:space="0" w:color="A6A6A6"/>
              <w:right w:val="single" w:sz="6" w:space="0" w:color="A6A6A6"/>
            </w:tcBorders>
          </w:tcPr>
          <w:p w14:paraId="3253D66F"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55563465"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724D8E3"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BA16046" w14:textId="77777777" w:rsidR="003C2AC3" w:rsidRDefault="003C2AC3">
            <w:pPr>
              <w:pBdr>
                <w:top w:val="nil"/>
                <w:left w:val="nil"/>
                <w:bottom w:val="nil"/>
                <w:right w:val="nil"/>
                <w:between w:val="nil"/>
              </w:pBdr>
              <w:spacing w:before="40" w:after="40"/>
            </w:pPr>
          </w:p>
        </w:tc>
      </w:tr>
      <w:tr w:rsidR="003C2AC3" w14:paraId="3BF32A94" w14:textId="77777777">
        <w:tc>
          <w:tcPr>
            <w:tcW w:w="4486" w:type="dxa"/>
            <w:tcBorders>
              <w:top w:val="single" w:sz="6" w:space="0" w:color="A6A6A6"/>
              <w:left w:val="single" w:sz="4" w:space="0" w:color="A6A6A6"/>
              <w:bottom w:val="single" w:sz="6" w:space="0" w:color="A6A6A6"/>
              <w:right w:val="single" w:sz="6" w:space="0" w:color="A6A6A6"/>
            </w:tcBorders>
          </w:tcPr>
          <w:p w14:paraId="48FFE993" w14:textId="77777777" w:rsidR="003C2AC3" w:rsidRDefault="00000000">
            <w:pPr>
              <w:pBdr>
                <w:top w:val="nil"/>
                <w:left w:val="nil"/>
                <w:bottom w:val="nil"/>
                <w:right w:val="nil"/>
                <w:between w:val="nil"/>
              </w:pBdr>
              <w:spacing w:before="40" w:after="40"/>
            </w:pPr>
            <w:r>
              <w:t>Proportion of respondents who believe ITNs are easy to use</w:t>
            </w:r>
          </w:p>
        </w:tc>
        <w:tc>
          <w:tcPr>
            <w:tcW w:w="1216" w:type="dxa"/>
            <w:tcBorders>
              <w:top w:val="single" w:sz="6" w:space="0" w:color="A6A6A6"/>
              <w:left w:val="single" w:sz="6" w:space="0" w:color="A6A6A6"/>
              <w:bottom w:val="single" w:sz="6" w:space="0" w:color="A6A6A6"/>
              <w:right w:val="single" w:sz="6" w:space="0" w:color="A6A6A6"/>
            </w:tcBorders>
          </w:tcPr>
          <w:p w14:paraId="1CB08618"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B150A74"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13EE5C6"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5501AA68" w14:textId="77777777" w:rsidR="003C2AC3" w:rsidRDefault="003C2AC3">
            <w:pPr>
              <w:pBdr>
                <w:top w:val="nil"/>
                <w:left w:val="nil"/>
                <w:bottom w:val="nil"/>
                <w:right w:val="nil"/>
                <w:between w:val="nil"/>
              </w:pBdr>
              <w:spacing w:before="40" w:after="40"/>
            </w:pPr>
          </w:p>
        </w:tc>
      </w:tr>
      <w:tr w:rsidR="003C2AC3" w14:paraId="6C2CD274" w14:textId="77777777">
        <w:tc>
          <w:tcPr>
            <w:tcW w:w="4486" w:type="dxa"/>
            <w:tcBorders>
              <w:top w:val="single" w:sz="6" w:space="0" w:color="A6A6A6"/>
              <w:left w:val="single" w:sz="4" w:space="0" w:color="A6A6A6"/>
              <w:bottom w:val="single" w:sz="6" w:space="0" w:color="A6A6A6"/>
              <w:right w:val="single" w:sz="6" w:space="0" w:color="A6A6A6"/>
            </w:tcBorders>
          </w:tcPr>
          <w:p w14:paraId="7AB53E96" w14:textId="77777777" w:rsidR="003C2AC3" w:rsidRDefault="00000000">
            <w:pPr>
              <w:pBdr>
                <w:top w:val="nil"/>
                <w:left w:val="nil"/>
                <w:bottom w:val="nil"/>
                <w:right w:val="nil"/>
                <w:between w:val="nil"/>
              </w:pBdr>
              <w:spacing w:before="40" w:after="40"/>
            </w:pPr>
            <w:r>
              <w:t>Proportion of respondents who believe using ITNs is safe</w:t>
            </w:r>
          </w:p>
        </w:tc>
        <w:tc>
          <w:tcPr>
            <w:tcW w:w="1216" w:type="dxa"/>
            <w:tcBorders>
              <w:top w:val="single" w:sz="6" w:space="0" w:color="A6A6A6"/>
              <w:left w:val="single" w:sz="6" w:space="0" w:color="A6A6A6"/>
              <w:bottom w:val="single" w:sz="6" w:space="0" w:color="A6A6A6"/>
              <w:right w:val="single" w:sz="6" w:space="0" w:color="A6A6A6"/>
            </w:tcBorders>
          </w:tcPr>
          <w:p w14:paraId="162F03FF"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24B8F8B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72A95B0"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7BD81E3" w14:textId="77777777" w:rsidR="003C2AC3" w:rsidRDefault="003C2AC3">
            <w:pPr>
              <w:pBdr>
                <w:top w:val="nil"/>
                <w:left w:val="nil"/>
                <w:bottom w:val="nil"/>
                <w:right w:val="nil"/>
                <w:between w:val="nil"/>
              </w:pBdr>
              <w:spacing w:before="40" w:after="40"/>
            </w:pPr>
          </w:p>
        </w:tc>
      </w:tr>
      <w:tr w:rsidR="003C2AC3" w14:paraId="229379F6" w14:textId="77777777">
        <w:tc>
          <w:tcPr>
            <w:tcW w:w="4486" w:type="dxa"/>
            <w:tcBorders>
              <w:top w:val="single" w:sz="6" w:space="0" w:color="A6A6A6"/>
              <w:left w:val="single" w:sz="4" w:space="0" w:color="A6A6A6"/>
              <w:bottom w:val="single" w:sz="6" w:space="0" w:color="A6A6A6"/>
              <w:right w:val="single" w:sz="6" w:space="0" w:color="A6A6A6"/>
            </w:tcBorders>
          </w:tcPr>
          <w:p w14:paraId="0E92A90D" w14:textId="77777777" w:rsidR="003C2AC3" w:rsidRDefault="00000000">
            <w:pPr>
              <w:pBdr>
                <w:top w:val="nil"/>
                <w:left w:val="nil"/>
                <w:bottom w:val="nil"/>
                <w:right w:val="nil"/>
                <w:between w:val="nil"/>
              </w:pBdr>
              <w:spacing w:before="40" w:after="40"/>
            </w:pPr>
            <w:r>
              <w:t>Proportion of respondents who find sleeping under an ITN uncomfortable when it is hot</w:t>
            </w:r>
          </w:p>
        </w:tc>
        <w:tc>
          <w:tcPr>
            <w:tcW w:w="1216" w:type="dxa"/>
            <w:tcBorders>
              <w:top w:val="single" w:sz="6" w:space="0" w:color="A6A6A6"/>
              <w:left w:val="single" w:sz="6" w:space="0" w:color="A6A6A6"/>
              <w:bottom w:val="single" w:sz="6" w:space="0" w:color="A6A6A6"/>
              <w:right w:val="single" w:sz="6" w:space="0" w:color="A6A6A6"/>
            </w:tcBorders>
          </w:tcPr>
          <w:p w14:paraId="2B6C0368"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9CB82A6"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F5FFA4A"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011B682" w14:textId="77777777" w:rsidR="003C2AC3" w:rsidRDefault="003C2AC3">
            <w:pPr>
              <w:pBdr>
                <w:top w:val="nil"/>
                <w:left w:val="nil"/>
                <w:bottom w:val="nil"/>
                <w:right w:val="nil"/>
                <w:between w:val="nil"/>
              </w:pBdr>
              <w:spacing w:before="40" w:after="40"/>
            </w:pPr>
          </w:p>
        </w:tc>
      </w:tr>
      <w:tr w:rsidR="003C2AC3" w14:paraId="6901231D" w14:textId="77777777">
        <w:tc>
          <w:tcPr>
            <w:tcW w:w="4486" w:type="dxa"/>
            <w:tcBorders>
              <w:top w:val="single" w:sz="6" w:space="0" w:color="A6A6A6"/>
              <w:left w:val="single" w:sz="4" w:space="0" w:color="A6A6A6"/>
              <w:bottom w:val="single" w:sz="6" w:space="0" w:color="A6A6A6"/>
              <w:right w:val="single" w:sz="6" w:space="0" w:color="A6A6A6"/>
            </w:tcBorders>
          </w:tcPr>
          <w:p w14:paraId="0EBA98F4" w14:textId="77777777" w:rsidR="003C2AC3" w:rsidRDefault="00000000">
            <w:pPr>
              <w:pBdr>
                <w:top w:val="nil"/>
                <w:left w:val="nil"/>
                <w:bottom w:val="nil"/>
                <w:right w:val="nil"/>
                <w:between w:val="nil"/>
              </w:pBdr>
              <w:spacing w:before="40" w:after="40"/>
            </w:pPr>
            <w:r>
              <w:t>Proportion of respondents who are uncomfortable with the smell of the insecticide in an ITN</w:t>
            </w:r>
          </w:p>
        </w:tc>
        <w:tc>
          <w:tcPr>
            <w:tcW w:w="1216" w:type="dxa"/>
            <w:tcBorders>
              <w:top w:val="single" w:sz="6" w:space="0" w:color="A6A6A6"/>
              <w:left w:val="single" w:sz="6" w:space="0" w:color="A6A6A6"/>
              <w:bottom w:val="single" w:sz="6" w:space="0" w:color="A6A6A6"/>
              <w:right w:val="single" w:sz="6" w:space="0" w:color="A6A6A6"/>
            </w:tcBorders>
          </w:tcPr>
          <w:p w14:paraId="278A802A"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7639597"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26E7C87"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3AC0323" w14:textId="77777777" w:rsidR="003C2AC3" w:rsidRDefault="003C2AC3">
            <w:pPr>
              <w:pBdr>
                <w:top w:val="nil"/>
                <w:left w:val="nil"/>
                <w:bottom w:val="nil"/>
                <w:right w:val="nil"/>
                <w:between w:val="nil"/>
              </w:pBdr>
              <w:spacing w:before="40" w:after="40"/>
            </w:pPr>
          </w:p>
        </w:tc>
      </w:tr>
      <w:tr w:rsidR="003C2AC3" w14:paraId="7431C3AC" w14:textId="77777777">
        <w:tc>
          <w:tcPr>
            <w:tcW w:w="4486" w:type="dxa"/>
            <w:tcBorders>
              <w:top w:val="single" w:sz="6" w:space="0" w:color="A6A6A6"/>
              <w:left w:val="single" w:sz="4" w:space="0" w:color="A6A6A6"/>
              <w:bottom w:val="single" w:sz="6" w:space="0" w:color="A6A6A6"/>
              <w:right w:val="single" w:sz="6" w:space="0" w:color="A6A6A6"/>
            </w:tcBorders>
          </w:tcPr>
          <w:p w14:paraId="6BAD01B9" w14:textId="77777777" w:rsidR="003C2AC3" w:rsidRDefault="00000000">
            <w:pPr>
              <w:pBdr>
                <w:top w:val="nil"/>
                <w:left w:val="nil"/>
                <w:bottom w:val="nil"/>
                <w:right w:val="nil"/>
                <w:between w:val="nil"/>
              </w:pBdr>
              <w:spacing w:before="40" w:after="40"/>
            </w:pPr>
            <w:r>
              <w:t>Proportion of respondents who believe more expensive ITNs are more effective than cheaper or free nets</w:t>
            </w:r>
          </w:p>
        </w:tc>
        <w:tc>
          <w:tcPr>
            <w:tcW w:w="1216" w:type="dxa"/>
            <w:tcBorders>
              <w:top w:val="single" w:sz="6" w:space="0" w:color="A6A6A6"/>
              <w:left w:val="single" w:sz="6" w:space="0" w:color="A6A6A6"/>
              <w:bottom w:val="single" w:sz="6" w:space="0" w:color="A6A6A6"/>
              <w:right w:val="single" w:sz="6" w:space="0" w:color="A6A6A6"/>
            </w:tcBorders>
          </w:tcPr>
          <w:p w14:paraId="67280F84"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6E817CB"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0E57C40"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4EDC4AE3" w14:textId="77777777" w:rsidR="003C2AC3" w:rsidRDefault="003C2AC3">
            <w:pPr>
              <w:pBdr>
                <w:top w:val="nil"/>
                <w:left w:val="nil"/>
                <w:bottom w:val="nil"/>
                <w:right w:val="nil"/>
                <w:between w:val="nil"/>
              </w:pBdr>
              <w:spacing w:before="40" w:after="40"/>
            </w:pPr>
          </w:p>
        </w:tc>
      </w:tr>
      <w:tr w:rsidR="003C2AC3" w14:paraId="2E70BD46"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342C9C30" w14:textId="77777777" w:rsidR="003C2AC3" w:rsidRDefault="00000000">
            <w:pPr>
              <w:pBdr>
                <w:top w:val="nil"/>
                <w:left w:val="nil"/>
                <w:bottom w:val="nil"/>
                <w:right w:val="nil"/>
                <w:between w:val="nil"/>
              </w:pBdr>
              <w:spacing w:before="40" w:after="40"/>
              <w:rPr>
                <w:b/>
              </w:rPr>
            </w:pPr>
            <w:r>
              <w:rPr>
                <w:b/>
              </w:rPr>
              <w:t>ITN care</w:t>
            </w:r>
          </w:p>
        </w:tc>
      </w:tr>
      <w:tr w:rsidR="003C2AC3" w14:paraId="0C1DAA8A" w14:textId="77777777">
        <w:tc>
          <w:tcPr>
            <w:tcW w:w="4486" w:type="dxa"/>
            <w:tcBorders>
              <w:top w:val="single" w:sz="6" w:space="0" w:color="A6A6A6"/>
              <w:left w:val="single" w:sz="4" w:space="0" w:color="A6A6A6"/>
              <w:bottom w:val="single" w:sz="6" w:space="0" w:color="A6A6A6"/>
              <w:right w:val="single" w:sz="6" w:space="0" w:color="A6A6A6"/>
            </w:tcBorders>
          </w:tcPr>
          <w:p w14:paraId="3619E61F" w14:textId="77777777" w:rsidR="003C2AC3" w:rsidRDefault="00000000">
            <w:pPr>
              <w:pBdr>
                <w:top w:val="nil"/>
                <w:left w:val="nil"/>
                <w:bottom w:val="nil"/>
                <w:right w:val="nil"/>
                <w:between w:val="nil"/>
              </w:pBdr>
              <w:spacing w:before="40" w:after="40"/>
            </w:pPr>
            <w:r>
              <w:t>Proportion of respondents who believe there are steps that can be taken to maintain an ITN</w:t>
            </w:r>
          </w:p>
        </w:tc>
        <w:tc>
          <w:tcPr>
            <w:tcW w:w="1216" w:type="dxa"/>
            <w:tcBorders>
              <w:top w:val="single" w:sz="6" w:space="0" w:color="A6A6A6"/>
              <w:left w:val="single" w:sz="6" w:space="0" w:color="A6A6A6"/>
              <w:bottom w:val="single" w:sz="6" w:space="0" w:color="A6A6A6"/>
              <w:right w:val="single" w:sz="6" w:space="0" w:color="A6A6A6"/>
            </w:tcBorders>
          </w:tcPr>
          <w:p w14:paraId="1A9DF5E0"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8EE5835"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2ABACE2F"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5B84AE40" w14:textId="77777777" w:rsidR="003C2AC3" w:rsidRDefault="003C2AC3">
            <w:pPr>
              <w:pBdr>
                <w:top w:val="nil"/>
                <w:left w:val="nil"/>
                <w:bottom w:val="nil"/>
                <w:right w:val="nil"/>
                <w:between w:val="nil"/>
              </w:pBdr>
              <w:spacing w:before="40" w:after="40"/>
            </w:pPr>
          </w:p>
        </w:tc>
      </w:tr>
      <w:tr w:rsidR="003C2AC3" w14:paraId="2B48BFE8"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69242913" w14:textId="77777777" w:rsidR="003C2AC3" w:rsidRDefault="00000000">
            <w:pPr>
              <w:pBdr>
                <w:top w:val="nil"/>
                <w:left w:val="nil"/>
                <w:bottom w:val="nil"/>
                <w:right w:val="nil"/>
                <w:between w:val="nil"/>
              </w:pBdr>
              <w:spacing w:before="40" w:after="40"/>
              <w:rPr>
                <w:b/>
              </w:rPr>
            </w:pPr>
            <w:r>
              <w:rPr>
                <w:b/>
              </w:rPr>
              <w:t>ITN response efficacy</w:t>
            </w:r>
          </w:p>
        </w:tc>
      </w:tr>
      <w:tr w:rsidR="003C2AC3" w14:paraId="525C8C97" w14:textId="77777777">
        <w:tc>
          <w:tcPr>
            <w:tcW w:w="4486" w:type="dxa"/>
            <w:tcBorders>
              <w:top w:val="single" w:sz="6" w:space="0" w:color="A6A6A6"/>
              <w:left w:val="single" w:sz="4" w:space="0" w:color="A6A6A6"/>
              <w:bottom w:val="single" w:sz="6" w:space="0" w:color="A6A6A6"/>
              <w:right w:val="single" w:sz="6" w:space="0" w:color="A6A6A6"/>
            </w:tcBorders>
          </w:tcPr>
          <w:p w14:paraId="20F6E061" w14:textId="77777777" w:rsidR="003C2AC3" w:rsidRDefault="00000000">
            <w:pPr>
              <w:pBdr>
                <w:top w:val="nil"/>
                <w:left w:val="nil"/>
                <w:bottom w:val="nil"/>
                <w:right w:val="nil"/>
                <w:between w:val="nil"/>
              </w:pBdr>
              <w:spacing w:before="40" w:after="40"/>
            </w:pPr>
            <w:r>
              <w:t>Proportion of respondents who believe sleeping under an ITN every night is the best way to avoid malaria</w:t>
            </w:r>
          </w:p>
        </w:tc>
        <w:tc>
          <w:tcPr>
            <w:tcW w:w="1216" w:type="dxa"/>
            <w:tcBorders>
              <w:top w:val="single" w:sz="6" w:space="0" w:color="A6A6A6"/>
              <w:left w:val="single" w:sz="6" w:space="0" w:color="A6A6A6"/>
              <w:bottom w:val="single" w:sz="6" w:space="0" w:color="A6A6A6"/>
              <w:right w:val="single" w:sz="6" w:space="0" w:color="A6A6A6"/>
            </w:tcBorders>
          </w:tcPr>
          <w:p w14:paraId="3A0AAC73"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46868EFE"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328909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6400DC2" w14:textId="77777777" w:rsidR="003C2AC3" w:rsidRDefault="003C2AC3">
            <w:pPr>
              <w:pBdr>
                <w:top w:val="nil"/>
                <w:left w:val="nil"/>
                <w:bottom w:val="nil"/>
                <w:right w:val="nil"/>
                <w:between w:val="nil"/>
              </w:pBdr>
              <w:spacing w:before="40" w:after="40"/>
            </w:pPr>
          </w:p>
        </w:tc>
      </w:tr>
      <w:tr w:rsidR="003C2AC3" w14:paraId="43864A2F" w14:textId="77777777">
        <w:tc>
          <w:tcPr>
            <w:tcW w:w="4486" w:type="dxa"/>
            <w:tcBorders>
              <w:top w:val="single" w:sz="6" w:space="0" w:color="A6A6A6"/>
              <w:left w:val="single" w:sz="4" w:space="0" w:color="A6A6A6"/>
              <w:bottom w:val="single" w:sz="6" w:space="0" w:color="A6A6A6"/>
              <w:right w:val="single" w:sz="6" w:space="0" w:color="A6A6A6"/>
            </w:tcBorders>
          </w:tcPr>
          <w:p w14:paraId="438A50C6" w14:textId="77777777" w:rsidR="003C2AC3" w:rsidRDefault="00000000">
            <w:pPr>
              <w:pBdr>
                <w:top w:val="nil"/>
                <w:left w:val="nil"/>
                <w:bottom w:val="nil"/>
                <w:right w:val="nil"/>
                <w:between w:val="nil"/>
              </w:pBdr>
              <w:spacing w:before="40" w:after="40"/>
            </w:pPr>
            <w:r>
              <w:lastRenderedPageBreak/>
              <w:t>Proportion of respondents who believe that many people who sleep under an ITN still get malaria</w:t>
            </w:r>
          </w:p>
        </w:tc>
        <w:tc>
          <w:tcPr>
            <w:tcW w:w="1216" w:type="dxa"/>
            <w:tcBorders>
              <w:top w:val="single" w:sz="6" w:space="0" w:color="A6A6A6"/>
              <w:left w:val="single" w:sz="6" w:space="0" w:color="A6A6A6"/>
              <w:bottom w:val="single" w:sz="6" w:space="0" w:color="A6A6A6"/>
              <w:right w:val="single" w:sz="6" w:space="0" w:color="A6A6A6"/>
            </w:tcBorders>
          </w:tcPr>
          <w:p w14:paraId="2C49A68E"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20875B46"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3C53D10"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40C43DDE" w14:textId="77777777" w:rsidR="003C2AC3" w:rsidRDefault="003C2AC3">
            <w:pPr>
              <w:pBdr>
                <w:top w:val="nil"/>
                <w:left w:val="nil"/>
                <w:bottom w:val="nil"/>
                <w:right w:val="nil"/>
                <w:between w:val="nil"/>
              </w:pBdr>
              <w:spacing w:before="40" w:after="40"/>
            </w:pPr>
          </w:p>
        </w:tc>
      </w:tr>
      <w:tr w:rsidR="003C2AC3" w14:paraId="6CE19903" w14:textId="77777777">
        <w:tc>
          <w:tcPr>
            <w:tcW w:w="4486" w:type="dxa"/>
            <w:tcBorders>
              <w:top w:val="single" w:sz="6" w:space="0" w:color="A6A6A6"/>
              <w:left w:val="single" w:sz="4" w:space="0" w:color="A6A6A6"/>
              <w:bottom w:val="single" w:sz="6" w:space="0" w:color="A6A6A6"/>
              <w:right w:val="single" w:sz="6" w:space="0" w:color="A6A6A6"/>
            </w:tcBorders>
          </w:tcPr>
          <w:p w14:paraId="11D8D36E" w14:textId="77777777" w:rsidR="003C2AC3" w:rsidRDefault="00000000">
            <w:pPr>
              <w:pBdr>
                <w:top w:val="nil"/>
                <w:left w:val="nil"/>
                <w:bottom w:val="nil"/>
                <w:right w:val="nil"/>
                <w:between w:val="nil"/>
              </w:pBdr>
              <w:spacing w:before="40" w:after="40"/>
            </w:pPr>
            <w:r>
              <w:t xml:space="preserve">Proportion of respondents who believe the likelihood of having malaria is the same whether they sleep under an ITN or not </w:t>
            </w:r>
          </w:p>
        </w:tc>
        <w:tc>
          <w:tcPr>
            <w:tcW w:w="1216" w:type="dxa"/>
            <w:tcBorders>
              <w:top w:val="single" w:sz="6" w:space="0" w:color="A6A6A6"/>
              <w:left w:val="single" w:sz="6" w:space="0" w:color="A6A6A6"/>
              <w:bottom w:val="single" w:sz="6" w:space="0" w:color="A6A6A6"/>
              <w:right w:val="single" w:sz="6" w:space="0" w:color="A6A6A6"/>
            </w:tcBorders>
          </w:tcPr>
          <w:p w14:paraId="4633DB15"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4E689057"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C764009"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F83585B" w14:textId="77777777" w:rsidR="003C2AC3" w:rsidRDefault="003C2AC3">
            <w:pPr>
              <w:pBdr>
                <w:top w:val="nil"/>
                <w:left w:val="nil"/>
                <w:bottom w:val="nil"/>
                <w:right w:val="nil"/>
                <w:between w:val="nil"/>
              </w:pBdr>
              <w:spacing w:before="40" w:after="40"/>
            </w:pPr>
          </w:p>
        </w:tc>
      </w:tr>
      <w:tr w:rsidR="003C2AC3" w14:paraId="1C5762B5"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25B7EEF8" w14:textId="77777777" w:rsidR="003C2AC3" w:rsidRDefault="00000000">
            <w:pPr>
              <w:pBdr>
                <w:top w:val="nil"/>
                <w:left w:val="nil"/>
                <w:bottom w:val="nil"/>
                <w:right w:val="nil"/>
                <w:between w:val="nil"/>
              </w:pBdr>
              <w:spacing w:before="40" w:after="40"/>
              <w:rPr>
                <w:b/>
              </w:rPr>
            </w:pPr>
            <w:r>
              <w:rPr>
                <w:b/>
              </w:rPr>
              <w:t>Self-efficacy to use ITNs</w:t>
            </w:r>
          </w:p>
        </w:tc>
      </w:tr>
      <w:tr w:rsidR="003C2AC3" w14:paraId="457D5093" w14:textId="77777777">
        <w:tc>
          <w:tcPr>
            <w:tcW w:w="4486" w:type="dxa"/>
            <w:tcBorders>
              <w:top w:val="single" w:sz="6" w:space="0" w:color="A6A6A6"/>
              <w:left w:val="single" w:sz="4" w:space="0" w:color="A6A6A6"/>
              <w:bottom w:val="single" w:sz="6" w:space="0" w:color="A6A6A6"/>
              <w:right w:val="single" w:sz="6" w:space="0" w:color="A6A6A6"/>
            </w:tcBorders>
          </w:tcPr>
          <w:p w14:paraId="5F727F96" w14:textId="77777777" w:rsidR="003C2AC3" w:rsidRDefault="00000000">
            <w:pPr>
              <w:pBdr>
                <w:top w:val="nil"/>
                <w:left w:val="nil"/>
                <w:bottom w:val="nil"/>
                <w:right w:val="nil"/>
                <w:between w:val="nil"/>
              </w:pBdr>
              <w:spacing w:before="40" w:after="40"/>
            </w:pPr>
            <w:r>
              <w:t>Proportion of respondents who feel they can sleep under an ITN all night long when there are many mosquitoes</w:t>
            </w:r>
          </w:p>
        </w:tc>
        <w:tc>
          <w:tcPr>
            <w:tcW w:w="1216" w:type="dxa"/>
            <w:tcBorders>
              <w:top w:val="single" w:sz="6" w:space="0" w:color="A6A6A6"/>
              <w:left w:val="single" w:sz="6" w:space="0" w:color="A6A6A6"/>
              <w:bottom w:val="single" w:sz="6" w:space="0" w:color="A6A6A6"/>
              <w:right w:val="single" w:sz="6" w:space="0" w:color="A6A6A6"/>
            </w:tcBorders>
          </w:tcPr>
          <w:p w14:paraId="4695826C"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0B93668"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C69376F"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B805658" w14:textId="77777777" w:rsidR="003C2AC3" w:rsidRDefault="003C2AC3">
            <w:pPr>
              <w:pBdr>
                <w:top w:val="nil"/>
                <w:left w:val="nil"/>
                <w:bottom w:val="nil"/>
                <w:right w:val="nil"/>
                <w:between w:val="nil"/>
              </w:pBdr>
              <w:spacing w:before="40" w:after="40"/>
            </w:pPr>
          </w:p>
        </w:tc>
      </w:tr>
      <w:tr w:rsidR="003C2AC3" w14:paraId="490C6DAE" w14:textId="77777777">
        <w:tc>
          <w:tcPr>
            <w:tcW w:w="4486" w:type="dxa"/>
            <w:tcBorders>
              <w:top w:val="single" w:sz="6" w:space="0" w:color="A6A6A6"/>
              <w:left w:val="single" w:sz="4" w:space="0" w:color="A6A6A6"/>
              <w:bottom w:val="single" w:sz="6" w:space="0" w:color="A6A6A6"/>
              <w:right w:val="single" w:sz="6" w:space="0" w:color="A6A6A6"/>
            </w:tcBorders>
          </w:tcPr>
          <w:p w14:paraId="7388F2BD" w14:textId="77777777" w:rsidR="003C2AC3" w:rsidRDefault="00000000">
            <w:pPr>
              <w:pBdr>
                <w:top w:val="nil"/>
                <w:left w:val="nil"/>
                <w:bottom w:val="nil"/>
                <w:right w:val="nil"/>
                <w:between w:val="nil"/>
              </w:pBdr>
              <w:spacing w:before="40" w:after="40"/>
            </w:pPr>
            <w:r>
              <w:t>Proportion of respondents who feel they can sleep under an ITN all night long even when there are few mosquitoes</w:t>
            </w:r>
          </w:p>
        </w:tc>
        <w:tc>
          <w:tcPr>
            <w:tcW w:w="1216" w:type="dxa"/>
            <w:tcBorders>
              <w:top w:val="single" w:sz="6" w:space="0" w:color="A6A6A6"/>
              <w:left w:val="single" w:sz="6" w:space="0" w:color="A6A6A6"/>
              <w:bottom w:val="single" w:sz="6" w:space="0" w:color="A6A6A6"/>
              <w:right w:val="single" w:sz="6" w:space="0" w:color="A6A6A6"/>
            </w:tcBorders>
          </w:tcPr>
          <w:p w14:paraId="67D5269B"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7370283"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468659C"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40EDBA1" w14:textId="77777777" w:rsidR="003C2AC3" w:rsidRDefault="003C2AC3">
            <w:pPr>
              <w:pBdr>
                <w:top w:val="nil"/>
                <w:left w:val="nil"/>
                <w:bottom w:val="nil"/>
                <w:right w:val="nil"/>
                <w:between w:val="nil"/>
              </w:pBdr>
              <w:spacing w:before="40" w:after="40"/>
            </w:pPr>
          </w:p>
        </w:tc>
      </w:tr>
      <w:tr w:rsidR="003C2AC3" w14:paraId="5D617845" w14:textId="77777777">
        <w:tc>
          <w:tcPr>
            <w:tcW w:w="4486" w:type="dxa"/>
            <w:tcBorders>
              <w:top w:val="single" w:sz="6" w:space="0" w:color="A6A6A6"/>
              <w:left w:val="single" w:sz="4" w:space="0" w:color="A6A6A6"/>
              <w:bottom w:val="single" w:sz="6" w:space="0" w:color="A6A6A6"/>
              <w:right w:val="single" w:sz="6" w:space="0" w:color="A6A6A6"/>
            </w:tcBorders>
          </w:tcPr>
          <w:p w14:paraId="7CD87CE8" w14:textId="77777777" w:rsidR="003C2AC3" w:rsidRDefault="00000000">
            <w:pPr>
              <w:pBdr>
                <w:top w:val="nil"/>
                <w:left w:val="nil"/>
                <w:bottom w:val="nil"/>
                <w:right w:val="nil"/>
                <w:between w:val="nil"/>
              </w:pBdr>
              <w:spacing w:before="40" w:after="40"/>
            </w:pPr>
            <w:r>
              <w:t>Proportion of respondents who feel they can ensure all of their children sleep under a mosquito net every night of the year</w:t>
            </w:r>
          </w:p>
        </w:tc>
        <w:tc>
          <w:tcPr>
            <w:tcW w:w="1216" w:type="dxa"/>
            <w:tcBorders>
              <w:top w:val="single" w:sz="6" w:space="0" w:color="A6A6A6"/>
              <w:left w:val="single" w:sz="6" w:space="0" w:color="A6A6A6"/>
              <w:bottom w:val="single" w:sz="6" w:space="0" w:color="A6A6A6"/>
              <w:right w:val="single" w:sz="6" w:space="0" w:color="A6A6A6"/>
            </w:tcBorders>
          </w:tcPr>
          <w:p w14:paraId="183CC22D"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6DF1EF6B"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57AC91D"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2825773" w14:textId="77777777" w:rsidR="003C2AC3" w:rsidRDefault="003C2AC3">
            <w:pPr>
              <w:pBdr>
                <w:top w:val="nil"/>
                <w:left w:val="nil"/>
                <w:bottom w:val="nil"/>
                <w:right w:val="nil"/>
                <w:between w:val="nil"/>
              </w:pBdr>
              <w:spacing w:before="40" w:after="40"/>
            </w:pPr>
          </w:p>
        </w:tc>
      </w:tr>
      <w:tr w:rsidR="003C2AC3" w14:paraId="33F7E827" w14:textId="77777777">
        <w:tc>
          <w:tcPr>
            <w:tcW w:w="9350" w:type="dxa"/>
            <w:gridSpan w:val="5"/>
            <w:tcBorders>
              <w:top w:val="single" w:sz="6" w:space="0" w:color="A6A6A6"/>
              <w:left w:val="single" w:sz="4" w:space="0" w:color="A6A6A6"/>
              <w:bottom w:val="single" w:sz="6" w:space="0" w:color="A6A6A6"/>
              <w:right w:val="single" w:sz="4" w:space="0" w:color="A6A6A6"/>
            </w:tcBorders>
          </w:tcPr>
          <w:p w14:paraId="7F4FD052" w14:textId="77777777" w:rsidR="003C2AC3" w:rsidRDefault="00000000">
            <w:pPr>
              <w:pBdr>
                <w:top w:val="nil"/>
                <w:left w:val="nil"/>
                <w:bottom w:val="nil"/>
                <w:right w:val="nil"/>
                <w:between w:val="nil"/>
              </w:pBdr>
              <w:spacing w:before="40" w:after="40"/>
              <w:rPr>
                <w:b/>
              </w:rPr>
            </w:pPr>
            <w:r>
              <w:rPr>
                <w:b/>
              </w:rPr>
              <w:t>Perceived norms regarding ITNs</w:t>
            </w:r>
          </w:p>
        </w:tc>
      </w:tr>
      <w:tr w:rsidR="003C2AC3" w14:paraId="276D9D1B" w14:textId="77777777">
        <w:tc>
          <w:tcPr>
            <w:tcW w:w="4486" w:type="dxa"/>
            <w:tcBorders>
              <w:top w:val="single" w:sz="6" w:space="0" w:color="A6A6A6"/>
              <w:left w:val="single" w:sz="4" w:space="0" w:color="A6A6A6"/>
              <w:bottom w:val="single" w:sz="6" w:space="0" w:color="A6A6A6"/>
              <w:right w:val="single" w:sz="6" w:space="0" w:color="A6A6A6"/>
            </w:tcBorders>
          </w:tcPr>
          <w:p w14:paraId="4891FE81" w14:textId="77777777" w:rsidR="003C2AC3" w:rsidRDefault="00000000">
            <w:pPr>
              <w:pBdr>
                <w:top w:val="nil"/>
                <w:left w:val="nil"/>
                <w:bottom w:val="nil"/>
                <w:right w:val="nil"/>
                <w:between w:val="nil"/>
              </w:pBdr>
              <w:spacing w:before="40" w:after="40"/>
            </w:pPr>
            <w:r>
              <w:t>Proportion of household members who believe at least half of those in their community slept under an ITN the previous night</w:t>
            </w:r>
          </w:p>
        </w:tc>
        <w:tc>
          <w:tcPr>
            <w:tcW w:w="1216" w:type="dxa"/>
            <w:tcBorders>
              <w:top w:val="single" w:sz="6" w:space="0" w:color="A6A6A6"/>
              <w:left w:val="single" w:sz="6" w:space="0" w:color="A6A6A6"/>
              <w:bottom w:val="single" w:sz="6" w:space="0" w:color="A6A6A6"/>
              <w:right w:val="single" w:sz="6" w:space="0" w:color="A6A6A6"/>
            </w:tcBorders>
          </w:tcPr>
          <w:p w14:paraId="23DD68A4"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000423E3"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39E179CE"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A0AB279" w14:textId="77777777" w:rsidR="003C2AC3" w:rsidRDefault="003C2AC3">
            <w:pPr>
              <w:pBdr>
                <w:top w:val="nil"/>
                <w:left w:val="nil"/>
                <w:bottom w:val="nil"/>
                <w:right w:val="nil"/>
                <w:between w:val="nil"/>
              </w:pBdr>
              <w:spacing w:before="40" w:after="40"/>
            </w:pPr>
          </w:p>
        </w:tc>
      </w:tr>
      <w:tr w:rsidR="003C2AC3" w14:paraId="09D5C720" w14:textId="77777777">
        <w:tc>
          <w:tcPr>
            <w:tcW w:w="4486" w:type="dxa"/>
            <w:tcBorders>
              <w:top w:val="single" w:sz="6" w:space="0" w:color="A6A6A6"/>
              <w:left w:val="single" w:sz="4" w:space="0" w:color="A6A6A6"/>
              <w:bottom w:val="single" w:sz="6" w:space="0" w:color="A6A6A6"/>
              <w:right w:val="single" w:sz="6" w:space="0" w:color="A6A6A6"/>
            </w:tcBorders>
          </w:tcPr>
          <w:p w14:paraId="3330E3C9" w14:textId="77777777" w:rsidR="003C2AC3" w:rsidRDefault="00000000">
            <w:pPr>
              <w:pBdr>
                <w:top w:val="nil"/>
                <w:left w:val="nil"/>
                <w:bottom w:val="nil"/>
                <w:right w:val="nil"/>
                <w:between w:val="nil"/>
              </w:pBdr>
              <w:spacing w:before="40" w:after="40"/>
            </w:pPr>
            <w:r>
              <w:t>Proportion of household members who believe most households in their community tie up their net when it is not in use</w:t>
            </w:r>
          </w:p>
        </w:tc>
        <w:tc>
          <w:tcPr>
            <w:tcW w:w="1216" w:type="dxa"/>
            <w:tcBorders>
              <w:top w:val="single" w:sz="6" w:space="0" w:color="A6A6A6"/>
              <w:left w:val="single" w:sz="6" w:space="0" w:color="A6A6A6"/>
              <w:bottom w:val="single" w:sz="6" w:space="0" w:color="A6A6A6"/>
              <w:right w:val="single" w:sz="6" w:space="0" w:color="A6A6A6"/>
            </w:tcBorders>
          </w:tcPr>
          <w:p w14:paraId="759F5ABA"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7D68810F"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2D2C2771" w14:textId="77777777" w:rsidR="003C2AC3" w:rsidRDefault="003C2AC3">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14:paraId="11F1F1CC" w14:textId="77777777" w:rsidR="003C2AC3" w:rsidRDefault="003C2AC3">
            <w:pPr>
              <w:pBdr>
                <w:top w:val="nil"/>
                <w:left w:val="nil"/>
                <w:bottom w:val="nil"/>
                <w:right w:val="nil"/>
                <w:between w:val="nil"/>
              </w:pBdr>
              <w:spacing w:before="40" w:after="40"/>
            </w:pPr>
          </w:p>
        </w:tc>
      </w:tr>
    </w:tbl>
    <w:p w14:paraId="6944C9F3" w14:textId="77777777" w:rsidR="003C2AC3" w:rsidRDefault="003C2AC3"/>
    <w:p w14:paraId="0F045961" w14:textId="77777777" w:rsidR="003C2AC3" w:rsidRDefault="00000000">
      <w:r>
        <w:t xml:space="preserve">This resource is part of the </w:t>
      </w:r>
      <w:hyperlink r:id="rId13">
        <w:r>
          <w:rPr>
            <w:color w:val="1155CC"/>
            <w:u w:val="single"/>
          </w:rPr>
          <w:t>Malaria SBC Strategy Development Toolkit</w:t>
        </w:r>
      </w:hyperlink>
    </w:p>
    <w:sectPr w:rsidR="003C2AC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7669" w14:textId="77777777" w:rsidR="004F17C0" w:rsidRDefault="004F17C0">
      <w:pPr>
        <w:spacing w:after="0" w:line="240" w:lineRule="auto"/>
      </w:pPr>
      <w:r>
        <w:separator/>
      </w:r>
    </w:p>
  </w:endnote>
  <w:endnote w:type="continuationSeparator" w:id="0">
    <w:p w14:paraId="6F50BACC" w14:textId="77777777" w:rsidR="004F17C0" w:rsidRDefault="004F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3175" w14:textId="77777777" w:rsidR="003C2AC3" w:rsidRDefault="00000000">
    <w:pPr>
      <w:pBdr>
        <w:top w:val="nil"/>
        <w:left w:val="nil"/>
        <w:bottom w:val="nil"/>
        <w:right w:val="nil"/>
        <w:between w:val="nil"/>
      </w:pBdr>
      <w:tabs>
        <w:tab w:val="center" w:pos="4680"/>
        <w:tab w:val="right" w:pos="9360"/>
      </w:tabs>
      <w:spacing w:after="0" w:line="240" w:lineRule="auto"/>
    </w:pPr>
    <w:r>
      <w:t>Social and behavior change data brief: ITN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1CFA" w14:textId="77777777" w:rsidR="003C2AC3" w:rsidRDefault="00000000">
    <w:pPr>
      <w:pBdr>
        <w:top w:val="nil"/>
        <w:left w:val="nil"/>
        <w:bottom w:val="nil"/>
        <w:right w:val="nil"/>
        <w:between w:val="nil"/>
      </w:pBdr>
      <w:tabs>
        <w:tab w:val="center" w:pos="4680"/>
        <w:tab w:val="right" w:pos="9360"/>
      </w:tabs>
      <w:spacing w:after="0" w:line="240" w:lineRule="auto"/>
    </w:pPr>
    <w:r>
      <w:t>[Document Title]</w:t>
    </w:r>
    <w:r>
      <w:tab/>
      <w:t xml:space="preserve">| </w:t>
    </w:r>
    <w:r>
      <w:fldChar w:fldCharType="begin"/>
    </w:r>
    <w:r>
      <w:instrText>PAGE</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3D6D" w14:textId="77777777" w:rsidR="003C2AC3" w:rsidRDefault="00000000">
    <w:pPr>
      <w:pBdr>
        <w:top w:val="nil"/>
        <w:left w:val="nil"/>
        <w:bottom w:val="nil"/>
        <w:right w:val="nil"/>
        <w:between w:val="nil"/>
      </w:pBdr>
      <w:tabs>
        <w:tab w:val="center" w:pos="4680"/>
        <w:tab w:val="right" w:pos="9360"/>
      </w:tabs>
      <w:spacing w:after="0" w:line="240" w:lineRule="auto"/>
    </w:pPr>
    <w:r>
      <w:t>Social and behavior change data brief: ITN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AB92" w14:textId="77777777" w:rsidR="004F17C0" w:rsidRDefault="004F17C0">
      <w:pPr>
        <w:spacing w:after="0" w:line="240" w:lineRule="auto"/>
      </w:pPr>
      <w:r>
        <w:separator/>
      </w:r>
    </w:p>
  </w:footnote>
  <w:footnote w:type="continuationSeparator" w:id="0">
    <w:p w14:paraId="1F377D82" w14:textId="77777777" w:rsidR="004F17C0" w:rsidRDefault="004F1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C3"/>
    <w:rsid w:val="003C2AC3"/>
    <w:rsid w:val="004F17C0"/>
    <w:rsid w:val="00BC270A"/>
    <w:rsid w:val="00D3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50FC5"/>
  <w15:docId w15:val="{BD5FFD7D-B13D-48EE-BFAC-0201B63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545454"/>
        <w:sz w:val="22"/>
        <w:szCs w:val="22"/>
        <w:highlight w:val="white"/>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1F3864"/>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1F3864"/>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4"/>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1F386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paJiNjmiHdVtfI25BZSCfpk1HV61ygcL?usp=sharing"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s://docs.google.com/presentation/d/1i9Vy5CcgtmFE2MC1MKY7lmTzUS1FyXvlIPSLINgkuhg/edit?usp=sha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docs.google.com/presentation/d/1i9Vy5CcgtmFE2MC1MKY7lmTzUS1FyXvlIPSLINgkuhg/edit?usp=shari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cs.google.com/document/d/1BDPaZW4De_TYTKErUxyu7y7XLuYTpXPr/edit" TargetMode="External"/><Relationship Id="rId4" Type="http://schemas.openxmlformats.org/officeDocument/2006/relationships/footnotes" Target="footnotes.xml"/><Relationship Id="rId9" Type="http://schemas.openxmlformats.org/officeDocument/2006/relationships/hyperlink" Target="https://endmalaria.org/sites/default/files/National-Malaria-SBC-Strategy-Guidance-2020-EN_0.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4354</Characters>
  <Application>Microsoft Office Word</Application>
  <DocSecurity>0</DocSecurity>
  <Lines>311</Lines>
  <Paragraphs>90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 Meei</dc:creator>
  <cp:lastModifiedBy>Meei Child</cp:lastModifiedBy>
  <cp:revision>2</cp:revision>
  <dcterms:created xsi:type="dcterms:W3CDTF">2024-06-25T20:03:00Z</dcterms:created>
  <dcterms:modified xsi:type="dcterms:W3CDTF">2024-06-25T20:03:00Z</dcterms:modified>
</cp:coreProperties>
</file>