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7A" w:rsidRPr="00AF04D8" w:rsidRDefault="00BA352B">
      <w:pPr>
        <w:pStyle w:val="Titre"/>
        <w:rPr>
          <w:color w:val="000000"/>
          <w:lang w:val="fr-FR"/>
        </w:rPr>
      </w:pPr>
      <w:bookmarkStart w:id="0" w:name="_lh2r57mwg48n" w:colFirst="0" w:colLast="0"/>
      <w:bookmarkEnd w:id="0"/>
      <w:r>
        <w:rPr>
          <w:color w:val="000000"/>
          <w:lang w:val="fr-FR"/>
        </w:rPr>
        <w:t>Synthèse des données sur les changements sociaux et comportementaux (CSC)</w:t>
      </w:r>
    </w:p>
    <w:p w:rsidR="00F5537A" w:rsidRPr="00AF04D8" w:rsidRDefault="00F5537A">
      <w:pPr>
        <w:spacing w:after="160" w:line="259" w:lineRule="auto"/>
        <w:rPr>
          <w:b/>
          <w:color w:val="000000"/>
          <w:sz w:val="54"/>
          <w:szCs w:val="54"/>
          <w:lang w:val="fr-FR"/>
        </w:rPr>
      </w:pPr>
    </w:p>
    <w:p w:rsidR="00F5537A" w:rsidRPr="00AF04D8" w:rsidRDefault="00BA352B">
      <w:pPr>
        <w:pStyle w:val="Titre"/>
        <w:rPr>
          <w:lang w:val="fr-FR"/>
        </w:rPr>
        <w:sectPr w:rsidR="00F5537A" w:rsidRPr="00AF04D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08"/>
        </w:sectPr>
      </w:pPr>
      <w:bookmarkStart w:id="1" w:name="_82y83o5cjsgq" w:colFirst="0" w:colLast="0"/>
      <w:bookmarkEnd w:id="1"/>
      <w:r>
        <w:rPr>
          <w:color w:val="000000"/>
          <w:sz w:val="54"/>
          <w:szCs w:val="54"/>
          <w:lang w:val="fr-FR"/>
        </w:rPr>
        <w:t>Gestion des cas de paludisme (exemple)</w:t>
      </w:r>
      <w:r>
        <w:rPr>
          <w:color w:val="000000"/>
          <w:sz w:val="54"/>
          <w:szCs w:val="54"/>
          <w:lang w:val="fr-FR"/>
        </w:rPr>
        <w:br w:type="page"/>
      </w:r>
    </w:p>
    <w:p w:rsidR="00F5537A" w:rsidRPr="00AF04D8" w:rsidRDefault="00BA352B">
      <w:pPr>
        <w:rPr>
          <w:b/>
          <w:lang w:val="fr-FR"/>
        </w:rPr>
      </w:pPr>
      <w:r>
        <w:rPr>
          <w:b/>
          <w:lang w:val="fr-FR"/>
        </w:rPr>
        <w:lastRenderedPageBreak/>
        <w:t>Comment utiliser cette synthèse de données</w:t>
      </w:r>
    </w:p>
    <w:p w:rsidR="00F5537A" w:rsidRPr="00AF04D8" w:rsidRDefault="00BA352B">
      <w:pPr>
        <w:rPr>
          <w:lang w:val="fr-FR"/>
        </w:rPr>
      </w:pPr>
      <w:r>
        <w:rPr>
          <w:lang w:val="fr-FR"/>
        </w:rPr>
        <w:t>Cette synthèse de données sur la gestion des cas de paludisme fait partie de la boîte à outils pour le développement de stratégies du Partenariat RBM pour mettre fin au paludisme. Cette synthèse de données doit être utilisée pour éclairer l</w:t>
      </w:r>
      <w:r w:rsidR="00AF04D8">
        <w:rPr>
          <w:lang w:val="fr-FR"/>
        </w:rPr>
        <w:t>’</w:t>
      </w:r>
      <w:r>
        <w:rPr>
          <w:lang w:val="fr-FR"/>
        </w:rPr>
        <w:t>élaboration de la stratégie de CSC d</w:t>
      </w:r>
      <w:r w:rsidR="00AF04D8">
        <w:rPr>
          <w:lang w:val="fr-FR"/>
        </w:rPr>
        <w:t>’</w:t>
      </w:r>
      <w:r>
        <w:rPr>
          <w:lang w:val="fr-FR"/>
        </w:rPr>
        <w:t xml:space="preserve">un pays en matière de paludisme. Plus précisément, ces données doivent être utilisées pour alimenter la section prospective de la stratégie (voir le </w:t>
      </w:r>
      <w:hyperlink r:id="rId12" w:history="1">
        <w:r>
          <w:rPr>
            <w:color w:val="1155CC"/>
            <w:u w:val="single"/>
            <w:lang w:val="fr-FR"/>
          </w:rPr>
          <w:t>guide</w:t>
        </w:r>
      </w:hyperlink>
      <w:r>
        <w:rPr>
          <w:lang w:val="fr-FR"/>
        </w:rPr>
        <w:t xml:space="preserve"> et le </w:t>
      </w:r>
      <w:hyperlink r:id="rId13" w:history="1">
        <w:r>
          <w:rPr>
            <w:color w:val="1155CC"/>
            <w:u w:val="single"/>
            <w:lang w:val="fr-FR"/>
          </w:rPr>
          <w:t>modèle</w:t>
        </w:r>
      </w:hyperlink>
      <w:r>
        <w:rPr>
          <w:lang w:val="fr-FR"/>
        </w:rPr>
        <w:t xml:space="preserve"> d</w:t>
      </w:r>
      <w:r w:rsidR="00AF04D8">
        <w:rPr>
          <w:lang w:val="fr-FR"/>
        </w:rPr>
        <w:t>’</w:t>
      </w:r>
      <w:r>
        <w:rPr>
          <w:lang w:val="fr-FR"/>
        </w:rPr>
        <w:t>élaboration de la stratégie de changement social et comportemental du Partenariat RBM pour mettre fin au paludisme) et les plans d</w:t>
      </w:r>
      <w:r w:rsidR="00AF04D8">
        <w:rPr>
          <w:lang w:val="fr-FR"/>
        </w:rPr>
        <w:t>’</w:t>
      </w:r>
      <w:r>
        <w:rPr>
          <w:lang w:val="fr-FR"/>
        </w:rPr>
        <w:t>intervention spécifiques (qui comprennent des analyses de situation, des analyses comportementales, des analyses d</w:t>
      </w:r>
      <w:r w:rsidR="00E54F7F">
        <w:rPr>
          <w:lang w:val="fr-FR"/>
        </w:rPr>
        <w:t>u public</w:t>
      </w:r>
      <w:bookmarkStart w:id="2" w:name="_GoBack"/>
      <w:bookmarkEnd w:id="2"/>
      <w:r>
        <w:rPr>
          <w:lang w:val="fr-FR"/>
        </w:rPr>
        <w:t xml:space="preserve"> et des approches de communication stratégique). Les données disponibles doivent être collectées et synthétisées ici avant l</w:t>
      </w:r>
      <w:r w:rsidR="00AF04D8">
        <w:rPr>
          <w:lang w:val="fr-FR"/>
        </w:rPr>
        <w:t>’</w:t>
      </w:r>
      <w:r>
        <w:rPr>
          <w:lang w:val="fr-FR"/>
        </w:rPr>
        <w:t>atelier des parties prenantes sur l</w:t>
      </w:r>
      <w:r w:rsidR="00AF04D8">
        <w:rPr>
          <w:lang w:val="fr-FR"/>
        </w:rPr>
        <w:t>’</w:t>
      </w:r>
      <w:r>
        <w:rPr>
          <w:lang w:val="fr-FR"/>
        </w:rPr>
        <w:t xml:space="preserve">élaboration de la stratégie, et bien avant la séance de rédaction de la stratégie qui suivra. Tous les partenaires seront ainsi familiarisés avec les données disponibles, ce qui permettra de garantir que la stratégie de CSC contre le paludisme qui en résultera sera fondée sur des données probantes. </w:t>
      </w:r>
    </w:p>
    <w:p w:rsidR="00F5537A" w:rsidRPr="00AF04D8" w:rsidRDefault="00BA352B">
      <w:pPr>
        <w:rPr>
          <w:b/>
          <w:lang w:val="fr-FR"/>
        </w:rPr>
      </w:pPr>
      <w:r>
        <w:rPr>
          <w:i/>
          <w:sz w:val="20"/>
          <w:szCs w:val="20"/>
          <w:lang w:val="fr-FR"/>
        </w:rPr>
        <w:t>Remarque</w:t>
      </w:r>
      <w:r w:rsidR="00AF04D8">
        <w:rPr>
          <w:i/>
          <w:sz w:val="20"/>
          <w:szCs w:val="20"/>
          <w:lang w:val="fr-FR"/>
        </w:rPr>
        <w:t> </w:t>
      </w:r>
      <w:r>
        <w:rPr>
          <w:i/>
          <w:sz w:val="20"/>
          <w:szCs w:val="20"/>
          <w:lang w:val="fr-FR"/>
        </w:rPr>
        <w:t>: le tableau d</w:t>
      </w:r>
      <w:r w:rsidR="00AF04D8">
        <w:rPr>
          <w:i/>
          <w:sz w:val="20"/>
          <w:szCs w:val="20"/>
          <w:lang w:val="fr-FR"/>
        </w:rPr>
        <w:t>’</w:t>
      </w:r>
      <w:r>
        <w:rPr>
          <w:i/>
          <w:sz w:val="20"/>
          <w:szCs w:val="20"/>
          <w:lang w:val="fr-FR"/>
        </w:rPr>
        <w:t>indicateurs suivant n</w:t>
      </w:r>
      <w:r w:rsidR="00AF04D8">
        <w:rPr>
          <w:i/>
          <w:sz w:val="20"/>
          <w:szCs w:val="20"/>
          <w:lang w:val="fr-FR"/>
        </w:rPr>
        <w:t>’</w:t>
      </w:r>
      <w:r>
        <w:rPr>
          <w:i/>
          <w:sz w:val="20"/>
          <w:szCs w:val="20"/>
          <w:lang w:val="fr-FR"/>
        </w:rPr>
        <w:t>est pas une liste exhaustive. Les pays doivent supprimer les indicateurs qui ne sont pas disponibles/pertinents et ajouter ceux qui peuvent être disponibles/pertinents selon les besoins.</w:t>
      </w:r>
    </w:p>
    <w:p w:rsidR="00F5537A" w:rsidRPr="00AF04D8" w:rsidRDefault="00F5537A">
      <w:pPr>
        <w:pBdr>
          <w:top w:val="nil"/>
          <w:left w:val="nil"/>
          <w:bottom w:val="nil"/>
          <w:right w:val="nil"/>
          <w:between w:val="nil"/>
        </w:pBdr>
        <w:spacing w:after="120" w:line="240" w:lineRule="auto"/>
        <w:ind w:left="720" w:hanging="360"/>
        <w:rPr>
          <w:b/>
          <w:color w:val="000000"/>
          <w:lang w:val="fr-FR"/>
        </w:rPr>
      </w:pPr>
    </w:p>
    <w:tbl>
      <w:tblPr>
        <w:tblStyle w:val="Table1"/>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9"/>
        <w:gridCol w:w="1158"/>
        <w:gridCol w:w="1158"/>
        <w:gridCol w:w="1216"/>
        <w:gridCol w:w="1158"/>
      </w:tblGrid>
      <w:tr w:rsidR="00F5537A" w:rsidRPr="00E54F7F">
        <w:tc>
          <w:tcPr>
            <w:tcW w:w="6976" w:type="dxa"/>
            <w:gridSpan w:val="3"/>
            <w:tcBorders>
              <w:top w:val="single" w:sz="4" w:space="0" w:color="2E75B5"/>
              <w:left w:val="single" w:sz="4" w:space="0" w:color="2E75B5"/>
              <w:bottom w:val="nil"/>
              <w:right w:val="single" w:sz="4" w:space="0" w:color="2E75B5"/>
            </w:tcBorders>
            <w:shd w:val="clear" w:color="auto" w:fill="2E75B5"/>
          </w:tcPr>
          <w:p w:rsidR="00F5537A" w:rsidRPr="00AF04D8" w:rsidRDefault="00BA352B">
            <w:pPr>
              <w:pBdr>
                <w:top w:val="nil"/>
                <w:left w:val="nil"/>
                <w:bottom w:val="nil"/>
                <w:right w:val="nil"/>
                <w:between w:val="nil"/>
              </w:pBdr>
              <w:spacing w:before="80" w:after="80"/>
              <w:rPr>
                <w:b/>
                <w:smallCaps/>
                <w:color w:val="FFFFFF"/>
                <w:lang w:val="fr-FR"/>
              </w:rPr>
            </w:pPr>
            <w:r>
              <w:rPr>
                <w:b/>
                <w:smallCaps/>
                <w:color w:val="FFFFFF"/>
                <w:lang w:val="fr-FR"/>
              </w:rPr>
              <w:t>Résumé du CSC</w:t>
            </w:r>
            <w:r w:rsidR="00AF04D8">
              <w:rPr>
                <w:b/>
                <w:smallCaps/>
                <w:color w:val="FFFFFF"/>
                <w:lang w:val="fr-FR"/>
              </w:rPr>
              <w:t> </w:t>
            </w:r>
            <w:r>
              <w:rPr>
                <w:b/>
                <w:smallCaps/>
                <w:color w:val="FFFFFF"/>
                <w:lang w:val="fr-FR"/>
              </w:rPr>
              <w:t>: comportements de gestion des cas de paludisme en Côte d</w:t>
            </w:r>
            <w:r w:rsidR="00AF04D8">
              <w:rPr>
                <w:b/>
                <w:smallCaps/>
                <w:color w:val="FFFFFF"/>
                <w:lang w:val="fr-FR"/>
              </w:rPr>
              <w:t>’</w:t>
            </w:r>
            <w:r>
              <w:rPr>
                <w:b/>
                <w:smallCaps/>
                <w:color w:val="FFFFFF"/>
                <w:lang w:val="fr-FR"/>
              </w:rPr>
              <w:t>Ivoire</w:t>
            </w:r>
          </w:p>
        </w:tc>
        <w:tc>
          <w:tcPr>
            <w:tcW w:w="1216" w:type="dxa"/>
            <w:tcBorders>
              <w:top w:val="single" w:sz="4" w:space="0" w:color="2E75B5"/>
              <w:left w:val="single" w:sz="4" w:space="0" w:color="2E75B5"/>
              <w:bottom w:val="nil"/>
              <w:right w:val="single" w:sz="4" w:space="0" w:color="2E75B5"/>
            </w:tcBorders>
            <w:shd w:val="clear" w:color="auto" w:fill="2E75B5"/>
          </w:tcPr>
          <w:p w:rsidR="00F5537A" w:rsidRPr="00AF04D8" w:rsidRDefault="00F5537A">
            <w:pPr>
              <w:pBdr>
                <w:top w:val="nil"/>
                <w:left w:val="nil"/>
                <w:bottom w:val="nil"/>
                <w:right w:val="nil"/>
                <w:between w:val="nil"/>
              </w:pBdr>
              <w:spacing w:before="80" w:after="80"/>
              <w:rPr>
                <w:b/>
                <w:smallCaps/>
                <w:color w:val="FFFFFF"/>
                <w:lang w:val="fr-FR"/>
              </w:rPr>
            </w:pPr>
          </w:p>
        </w:tc>
        <w:tc>
          <w:tcPr>
            <w:tcW w:w="1158" w:type="dxa"/>
            <w:tcBorders>
              <w:top w:val="single" w:sz="4" w:space="0" w:color="2E75B5"/>
              <w:left w:val="single" w:sz="4" w:space="0" w:color="2E75B5"/>
              <w:bottom w:val="nil"/>
              <w:right w:val="single" w:sz="4" w:space="0" w:color="2E75B5"/>
            </w:tcBorders>
            <w:shd w:val="clear" w:color="auto" w:fill="2E75B5"/>
          </w:tcPr>
          <w:p w:rsidR="00F5537A" w:rsidRPr="00AF04D8" w:rsidRDefault="00F5537A">
            <w:pPr>
              <w:pBdr>
                <w:top w:val="nil"/>
                <w:left w:val="nil"/>
                <w:bottom w:val="nil"/>
                <w:right w:val="nil"/>
                <w:between w:val="nil"/>
              </w:pBdr>
              <w:spacing w:before="80" w:after="80"/>
              <w:rPr>
                <w:b/>
                <w:smallCaps/>
                <w:color w:val="FFFFFF"/>
                <w:lang w:val="fr-FR"/>
              </w:rPr>
            </w:pPr>
          </w:p>
        </w:tc>
      </w:tr>
      <w:tr w:rsidR="00F5537A">
        <w:tc>
          <w:tcPr>
            <w:tcW w:w="4660" w:type="dxa"/>
            <w:tcBorders>
              <w:top w:val="nil"/>
              <w:left w:val="single" w:sz="4" w:space="0" w:color="A6A6A6"/>
              <w:bottom w:val="single" w:sz="6" w:space="0" w:color="A6A6A6"/>
              <w:right w:val="single" w:sz="6" w:space="0" w:color="A6A6A6"/>
            </w:tcBorders>
            <w:shd w:val="clear" w:color="auto" w:fill="EDEDED"/>
          </w:tcPr>
          <w:p w:rsidR="00F5537A" w:rsidRDefault="00BA352B">
            <w:pPr>
              <w:pBdr>
                <w:top w:val="nil"/>
                <w:left w:val="nil"/>
                <w:bottom w:val="nil"/>
                <w:right w:val="nil"/>
                <w:between w:val="nil"/>
              </w:pBdr>
              <w:spacing w:before="40" w:after="40"/>
              <w:rPr>
                <w:smallCaps/>
              </w:rPr>
            </w:pPr>
            <w:r>
              <w:rPr>
                <w:smallCaps/>
                <w:lang w:val="fr-FR"/>
              </w:rPr>
              <w:t>indicateur</w:t>
            </w:r>
          </w:p>
        </w:tc>
        <w:tc>
          <w:tcPr>
            <w:tcW w:w="1158" w:type="dxa"/>
            <w:tcBorders>
              <w:top w:val="nil"/>
              <w:left w:val="single" w:sz="6" w:space="0" w:color="A6A6A6"/>
              <w:bottom w:val="single" w:sz="6" w:space="0" w:color="A6A6A6"/>
              <w:right w:val="single" w:sz="6" w:space="0" w:color="A6A6A6"/>
            </w:tcBorders>
            <w:shd w:val="clear" w:color="auto" w:fill="EDEDED"/>
          </w:tcPr>
          <w:p w:rsidR="00F5537A" w:rsidRDefault="00BA352B">
            <w:pPr>
              <w:pBdr>
                <w:top w:val="nil"/>
                <w:left w:val="nil"/>
                <w:bottom w:val="nil"/>
                <w:right w:val="nil"/>
                <w:between w:val="nil"/>
              </w:pBdr>
              <w:spacing w:before="40" w:after="40"/>
              <w:jc w:val="center"/>
              <w:rPr>
                <w:smallCaps/>
              </w:rPr>
            </w:pPr>
            <w:r>
              <w:rPr>
                <w:smallCaps/>
                <w:lang w:val="fr-FR"/>
              </w:rPr>
              <w:t>MICS</w:t>
            </w:r>
          </w:p>
          <w:p w:rsidR="00F5537A" w:rsidRDefault="00BA352B">
            <w:pPr>
              <w:pBdr>
                <w:top w:val="nil"/>
                <w:left w:val="nil"/>
                <w:bottom w:val="nil"/>
                <w:right w:val="nil"/>
                <w:between w:val="nil"/>
              </w:pBdr>
              <w:spacing w:before="40" w:after="40"/>
              <w:jc w:val="center"/>
              <w:rPr>
                <w:smallCaps/>
              </w:rPr>
            </w:pPr>
            <w:r>
              <w:rPr>
                <w:smallCaps/>
                <w:lang w:val="fr-FR"/>
              </w:rPr>
              <w:t xml:space="preserve">(2016) </w:t>
            </w:r>
          </w:p>
        </w:tc>
        <w:tc>
          <w:tcPr>
            <w:tcW w:w="1158" w:type="dxa"/>
            <w:tcBorders>
              <w:top w:val="nil"/>
              <w:left w:val="single" w:sz="6" w:space="0" w:color="A6A6A6"/>
              <w:bottom w:val="single" w:sz="6" w:space="0" w:color="A6A6A6"/>
              <w:right w:val="single" w:sz="4" w:space="0" w:color="A6A6A6"/>
            </w:tcBorders>
            <w:shd w:val="clear" w:color="auto" w:fill="EDEDED"/>
          </w:tcPr>
          <w:p w:rsidR="00F5537A" w:rsidRDefault="00BA352B">
            <w:pPr>
              <w:pBdr>
                <w:top w:val="nil"/>
                <w:left w:val="nil"/>
                <w:bottom w:val="nil"/>
                <w:right w:val="nil"/>
                <w:between w:val="nil"/>
              </w:pBdr>
              <w:spacing w:before="40" w:after="40"/>
              <w:jc w:val="center"/>
              <w:rPr>
                <w:smallCaps/>
              </w:rPr>
            </w:pPr>
            <w:r>
              <w:rPr>
                <w:smallCaps/>
                <w:lang w:val="fr-FR"/>
              </w:rPr>
              <w:t xml:space="preserve">DHS </w:t>
            </w:r>
          </w:p>
          <w:p w:rsidR="00F5537A" w:rsidRDefault="00BA352B">
            <w:pPr>
              <w:pBdr>
                <w:top w:val="nil"/>
                <w:left w:val="nil"/>
                <w:bottom w:val="nil"/>
                <w:right w:val="nil"/>
                <w:between w:val="nil"/>
              </w:pBdr>
              <w:spacing w:before="40" w:after="40"/>
              <w:jc w:val="center"/>
              <w:rPr>
                <w:smallCaps/>
              </w:rPr>
            </w:pPr>
            <w:r>
              <w:rPr>
                <w:smallCaps/>
                <w:lang w:val="fr-FR"/>
              </w:rPr>
              <w:t>(11-12)</w:t>
            </w:r>
          </w:p>
        </w:tc>
        <w:tc>
          <w:tcPr>
            <w:tcW w:w="1216" w:type="dxa"/>
            <w:tcBorders>
              <w:top w:val="nil"/>
              <w:left w:val="single" w:sz="6" w:space="0" w:color="A6A6A6"/>
              <w:bottom w:val="single" w:sz="6" w:space="0" w:color="A6A6A6"/>
              <w:right w:val="single" w:sz="4" w:space="0" w:color="A6A6A6"/>
            </w:tcBorders>
            <w:shd w:val="clear" w:color="auto" w:fill="EDEDED"/>
          </w:tcPr>
          <w:p w:rsidR="00F5537A" w:rsidRDefault="00BA352B">
            <w:pPr>
              <w:pBdr>
                <w:top w:val="nil"/>
                <w:left w:val="nil"/>
                <w:bottom w:val="nil"/>
                <w:right w:val="nil"/>
                <w:between w:val="nil"/>
              </w:pBdr>
              <w:spacing w:before="40" w:after="40"/>
              <w:jc w:val="center"/>
              <w:rPr>
                <w:smallCaps/>
              </w:rPr>
            </w:pPr>
            <w:r>
              <w:rPr>
                <w:smallCaps/>
                <w:lang w:val="fr-FR"/>
              </w:rPr>
              <w:t>KAP</w:t>
            </w:r>
          </w:p>
          <w:p w:rsidR="00F5537A" w:rsidRDefault="00BA352B">
            <w:pPr>
              <w:pBdr>
                <w:top w:val="nil"/>
                <w:left w:val="nil"/>
                <w:bottom w:val="nil"/>
                <w:right w:val="nil"/>
                <w:between w:val="nil"/>
              </w:pBdr>
              <w:spacing w:before="40" w:after="40"/>
              <w:jc w:val="center"/>
              <w:rPr>
                <w:smallCaps/>
              </w:rPr>
            </w:pPr>
            <w:r>
              <w:rPr>
                <w:smallCaps/>
                <w:lang w:val="fr-FR"/>
              </w:rPr>
              <w:t xml:space="preserve">(2017)  </w:t>
            </w:r>
          </w:p>
        </w:tc>
        <w:tc>
          <w:tcPr>
            <w:tcW w:w="1158" w:type="dxa"/>
            <w:tcBorders>
              <w:top w:val="nil"/>
              <w:left w:val="single" w:sz="6" w:space="0" w:color="A6A6A6"/>
              <w:bottom w:val="single" w:sz="6" w:space="0" w:color="A6A6A6"/>
              <w:right w:val="single" w:sz="4" w:space="0" w:color="A6A6A6"/>
            </w:tcBorders>
            <w:shd w:val="clear" w:color="auto" w:fill="EDEDED"/>
          </w:tcPr>
          <w:p w:rsidR="00F5537A" w:rsidRDefault="00BA352B">
            <w:pPr>
              <w:pBdr>
                <w:top w:val="nil"/>
                <w:left w:val="nil"/>
                <w:bottom w:val="nil"/>
                <w:right w:val="nil"/>
                <w:between w:val="nil"/>
              </w:pBdr>
              <w:spacing w:before="40" w:after="40"/>
              <w:jc w:val="center"/>
              <w:rPr>
                <w:smallCaps/>
              </w:rPr>
            </w:pPr>
            <w:r>
              <w:rPr>
                <w:smallCaps/>
                <w:lang w:val="fr-FR"/>
              </w:rPr>
              <w:t xml:space="preserve">MBS </w:t>
            </w:r>
          </w:p>
          <w:p w:rsidR="00F5537A" w:rsidRDefault="00BA352B">
            <w:pPr>
              <w:pBdr>
                <w:top w:val="nil"/>
                <w:left w:val="nil"/>
                <w:bottom w:val="nil"/>
                <w:right w:val="nil"/>
                <w:between w:val="nil"/>
              </w:pBdr>
              <w:spacing w:before="40" w:after="40"/>
              <w:jc w:val="center"/>
              <w:rPr>
                <w:smallCaps/>
              </w:rPr>
            </w:pPr>
            <w:r>
              <w:rPr>
                <w:smallCaps/>
                <w:lang w:val="fr-FR"/>
              </w:rPr>
              <w:t>(2018)</w:t>
            </w: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jc w:val="center"/>
              <w:rPr>
                <w:b/>
                <w:lang w:val="fr-FR"/>
              </w:rPr>
            </w:pPr>
            <w:r>
              <w:rPr>
                <w:b/>
                <w:lang w:val="fr-FR"/>
              </w:rPr>
              <w:t>Comportements (analyse de la situation)</w:t>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 xml:space="preserve">Parmi les enfants de moins de cinq ans ayant de la fièvre, proportion de ceux qui ont demandé un traitement à un établissement ou à un prestataire le jour même </w:t>
            </w:r>
            <w:proofErr w:type="spellStart"/>
            <w:r>
              <w:rPr>
                <w:lang w:val="fr-FR"/>
              </w:rPr>
              <w:t>ou</w:t>
            </w:r>
            <w:proofErr w:type="spellEnd"/>
            <w:r>
              <w:rPr>
                <w:lang w:val="fr-FR"/>
              </w:rPr>
              <w:t xml:space="preserve"> le lendemain</w:t>
            </w:r>
          </w:p>
        </w:tc>
        <w:tc>
          <w:tcPr>
            <w:tcW w:w="1158" w:type="dxa"/>
            <w:tcBorders>
              <w:top w:val="single" w:sz="6" w:space="0" w:color="A6A6A6"/>
              <w:left w:val="single" w:sz="6"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pPr>
            <w:r>
              <w:rPr>
                <w:lang w:val="fr-FR"/>
              </w:rPr>
              <w:t>45,2</w:t>
            </w:r>
            <w:r w:rsidR="00AF04D8">
              <w:rPr>
                <w:lang w:val="fr-FR"/>
              </w:rPr>
              <w:t> </w:t>
            </w:r>
            <w:r>
              <w:rPr>
                <w:lang w:val="fr-FR"/>
              </w:rPr>
              <w:t>%</w:t>
            </w:r>
            <w:r>
              <w:rPr>
                <w:vertAlign w:val="superscript"/>
              </w:rPr>
              <w:footnoteReference w:id="1"/>
            </w: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42,8</w:t>
            </w:r>
            <w:r w:rsidR="00AF04D8">
              <w:rPr>
                <w:lang w:val="fr-FR"/>
              </w:rPr>
              <w:t> </w:t>
            </w:r>
            <w:r>
              <w:rPr>
                <w:lang w:val="fr-FR"/>
              </w:rPr>
              <w:t>%</w:t>
            </w:r>
            <w:r>
              <w:rPr>
                <w:vertAlign w:val="superscript"/>
              </w:rPr>
              <w:footnoteReference w:id="2"/>
            </w: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73,2</w:t>
            </w:r>
            <w:r w:rsidR="00AF04D8">
              <w:rPr>
                <w:lang w:val="fr-FR"/>
              </w:rPr>
              <w:t> </w:t>
            </w:r>
            <w:r>
              <w:rPr>
                <w:lang w:val="fr-FR"/>
              </w:rPr>
              <w:t>%</w:t>
            </w:r>
            <w:r>
              <w:rPr>
                <w:vertAlign w:val="superscript"/>
              </w:rPr>
              <w:footnoteReference w:id="3"/>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w:t>
            </w:r>
            <w:r w:rsidR="00AF04D8">
              <w:rPr>
                <w:lang w:val="fr-FR"/>
              </w:rPr>
              <w:t>’</w:t>
            </w:r>
            <w:r>
              <w:rPr>
                <w:lang w:val="fr-FR"/>
              </w:rPr>
              <w:t xml:space="preserve">enfants de moins de cinq ans ayant eu de la fièvre au cours des deux dernières semaines et ayant reçu des antipaludéens </w:t>
            </w:r>
          </w:p>
        </w:tc>
        <w:tc>
          <w:tcPr>
            <w:tcW w:w="1158" w:type="dxa"/>
            <w:tcBorders>
              <w:top w:val="single" w:sz="6" w:space="0" w:color="A6A6A6"/>
              <w:left w:val="single" w:sz="6"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pPr>
            <w:r>
              <w:rPr>
                <w:lang w:val="fr-FR"/>
              </w:rPr>
              <w:t>18,1</w:t>
            </w:r>
            <w:r w:rsidR="00AF04D8">
              <w:rPr>
                <w:lang w:val="fr-FR"/>
              </w:rPr>
              <w:t> </w:t>
            </w:r>
            <w:r>
              <w:rPr>
                <w:lang w:val="fr-FR"/>
              </w:rPr>
              <w:t>%</w:t>
            </w: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17,5</w:t>
            </w:r>
            <w:r w:rsidR="00AF04D8">
              <w:rPr>
                <w:lang w:val="fr-FR"/>
              </w:rPr>
              <w:t> </w:t>
            </w:r>
            <w:r>
              <w:rPr>
                <w:lang w:val="fr-FR"/>
              </w:rPr>
              <w:t>%</w:t>
            </w:r>
            <w:r>
              <w:rPr>
                <w:vertAlign w:val="superscript"/>
              </w:rPr>
              <w:footnoteReference w:id="4"/>
            </w: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98,8</w:t>
            </w:r>
            <w:r w:rsidR="00AF04D8">
              <w:rPr>
                <w:lang w:val="fr-FR"/>
              </w:rPr>
              <w:t> </w:t>
            </w:r>
            <w:r>
              <w:rPr>
                <w:lang w:val="fr-FR"/>
              </w:rPr>
              <w:t>%</w:t>
            </w:r>
            <w:r>
              <w:rPr>
                <w:vertAlign w:val="superscript"/>
              </w:rPr>
              <w:footnoteReference w:id="5"/>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lastRenderedPageBreak/>
              <w:t>Proportion d</w:t>
            </w:r>
            <w:r w:rsidR="00AF04D8">
              <w:rPr>
                <w:lang w:val="fr-FR"/>
              </w:rPr>
              <w:t>’</w:t>
            </w:r>
            <w:r>
              <w:rPr>
                <w:lang w:val="fr-FR"/>
              </w:rPr>
              <w:t>enfants de moins de 5 ans ayant de la fièvre (au cours des deux dernières semaines) qui ont fait l</w:t>
            </w:r>
            <w:r w:rsidR="00AF04D8">
              <w:rPr>
                <w:lang w:val="fr-FR"/>
              </w:rPr>
              <w:t>’</w:t>
            </w:r>
            <w:r>
              <w:rPr>
                <w:lang w:val="fr-FR"/>
              </w:rPr>
              <w:t>objet d</w:t>
            </w:r>
            <w:r w:rsidR="00AF04D8">
              <w:rPr>
                <w:lang w:val="fr-FR"/>
              </w:rPr>
              <w:t>’</w:t>
            </w:r>
            <w:r>
              <w:rPr>
                <w:lang w:val="fr-FR"/>
              </w:rPr>
              <w:t>une prise de sang au doigt ou au talon en vue d</w:t>
            </w:r>
            <w:r w:rsidR="00AF04D8">
              <w:rPr>
                <w:lang w:val="fr-FR"/>
              </w:rPr>
              <w:t>’</w:t>
            </w:r>
            <w:r>
              <w:rPr>
                <w:lang w:val="fr-FR"/>
              </w:rPr>
              <w:t>un test</w:t>
            </w:r>
          </w:p>
        </w:tc>
        <w:tc>
          <w:tcPr>
            <w:tcW w:w="1158" w:type="dxa"/>
            <w:tcBorders>
              <w:top w:val="single" w:sz="6" w:space="0" w:color="A6A6A6"/>
              <w:left w:val="single" w:sz="6"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pPr>
            <w:r>
              <w:rPr>
                <w:lang w:val="fr-FR"/>
              </w:rPr>
              <w:t>26,3</w:t>
            </w:r>
            <w:r w:rsidR="00AF04D8">
              <w:rPr>
                <w:lang w:val="fr-FR"/>
              </w:rPr>
              <w:t> </w:t>
            </w:r>
            <w:r>
              <w:rPr>
                <w:lang w:val="fr-FR"/>
              </w:rPr>
              <w:t>%</w:t>
            </w: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11</w:t>
            </w:r>
            <w:r w:rsidR="00AF04D8">
              <w:rPr>
                <w:lang w:val="fr-FR"/>
              </w:rPr>
              <w:t> </w:t>
            </w:r>
            <w:r>
              <w:rPr>
                <w:lang w:val="fr-FR"/>
              </w:rPr>
              <w:t>%</w:t>
            </w: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45,9</w:t>
            </w:r>
            <w:r w:rsidR="00AF04D8">
              <w:rPr>
                <w:lang w:val="fr-FR"/>
              </w:rPr>
              <w:t> </w:t>
            </w:r>
            <w:r>
              <w:rPr>
                <w:lang w:val="fr-FR"/>
              </w:rPr>
              <w:t>%</w:t>
            </w:r>
            <w:r>
              <w:rPr>
                <w:vertAlign w:val="superscript"/>
              </w:rPr>
              <w:footnoteReference w:id="6"/>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w:t>
            </w:r>
            <w:r w:rsidR="00AF04D8">
              <w:rPr>
                <w:lang w:val="fr-FR"/>
              </w:rPr>
              <w:t>’</w:t>
            </w:r>
            <w:r>
              <w:rPr>
                <w:lang w:val="fr-FR"/>
              </w:rPr>
              <w:t>enfants de moins de 5 ans ayant de la fièvre (au cours des deux dernières semaines) qui ont été traités avec un ACT</w:t>
            </w:r>
          </w:p>
        </w:tc>
        <w:tc>
          <w:tcPr>
            <w:tcW w:w="1158" w:type="dxa"/>
            <w:tcBorders>
              <w:top w:val="single" w:sz="6" w:space="0" w:color="A6A6A6"/>
              <w:left w:val="single" w:sz="6"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pPr>
            <w:r>
              <w:rPr>
                <w:lang w:val="fr-FR"/>
              </w:rPr>
              <w:t>11,6</w:t>
            </w:r>
            <w:r w:rsidR="00AF04D8">
              <w:rPr>
                <w:lang w:val="fr-FR"/>
              </w:rPr>
              <w:t> </w:t>
            </w:r>
            <w:r>
              <w:rPr>
                <w:lang w:val="fr-FR"/>
              </w:rPr>
              <w:t>%</w:t>
            </w:r>
            <w:r>
              <w:rPr>
                <w:vertAlign w:val="superscript"/>
              </w:rPr>
              <w:footnoteReference w:id="7"/>
            </w: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3</w:t>
            </w:r>
            <w:r w:rsidR="00AF04D8">
              <w:rPr>
                <w:lang w:val="fr-FR"/>
              </w:rPr>
              <w:t> </w:t>
            </w:r>
            <w:r>
              <w:rPr>
                <w:lang w:val="fr-FR"/>
              </w:rPr>
              <w:t>%</w:t>
            </w:r>
            <w:r>
              <w:rPr>
                <w:vertAlign w:val="superscript"/>
              </w:rPr>
              <w:footnoteReference w:id="8"/>
            </w: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42,5</w:t>
            </w:r>
            <w:r w:rsidR="00AF04D8">
              <w:rPr>
                <w:lang w:val="fr-FR"/>
              </w:rPr>
              <w:t> </w:t>
            </w:r>
            <w:r>
              <w:rPr>
                <w:lang w:val="fr-FR"/>
              </w:rPr>
              <w:t>%</w:t>
            </w:r>
            <w:r>
              <w:rPr>
                <w:vertAlign w:val="superscript"/>
              </w:rPr>
              <w:footnoteReference w:id="9"/>
            </w:r>
          </w:p>
        </w:tc>
      </w:tr>
    </w:tbl>
    <w:p w:rsidR="00F5537A" w:rsidRDefault="00BA352B">
      <w:r>
        <w:br w:type="page"/>
      </w:r>
    </w:p>
    <w:tbl>
      <w:tblPr>
        <w:tblStyle w:val="Table2"/>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9"/>
        <w:gridCol w:w="1158"/>
        <w:gridCol w:w="1158"/>
        <w:gridCol w:w="1216"/>
        <w:gridCol w:w="1158"/>
      </w:tblGrid>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jc w:val="center"/>
              <w:rPr>
                <w:b/>
                <w:lang w:val="fr-FR"/>
              </w:rPr>
            </w:pPr>
            <w:r>
              <w:rPr>
                <w:b/>
                <w:lang w:val="fr-FR"/>
              </w:rPr>
              <w:lastRenderedPageBreak/>
              <w:t>Déterminants du comportement (analyse comportementale)</w:t>
            </w:r>
          </w:p>
        </w:tc>
      </w:tr>
      <w:tr w:rsidR="00F5537A">
        <w:tc>
          <w:tcPr>
            <w:tcW w:w="4660" w:type="dxa"/>
            <w:tcBorders>
              <w:top w:val="nil"/>
              <w:left w:val="single" w:sz="4" w:space="0" w:color="A6A6A6"/>
              <w:bottom w:val="single" w:sz="6" w:space="0" w:color="A6A6A6"/>
              <w:right w:val="single" w:sz="6" w:space="0" w:color="A6A6A6"/>
            </w:tcBorders>
            <w:shd w:val="clear" w:color="auto" w:fill="EDEDED"/>
          </w:tcPr>
          <w:p w:rsidR="00F5537A" w:rsidRDefault="00BA352B">
            <w:pPr>
              <w:spacing w:before="40" w:after="40"/>
              <w:rPr>
                <w:smallCaps/>
              </w:rPr>
            </w:pPr>
            <w:r>
              <w:rPr>
                <w:smallCaps/>
                <w:lang w:val="fr-FR"/>
              </w:rPr>
              <w:t>indicateur</w:t>
            </w:r>
          </w:p>
        </w:tc>
        <w:tc>
          <w:tcPr>
            <w:tcW w:w="1158" w:type="dxa"/>
            <w:tcBorders>
              <w:top w:val="nil"/>
              <w:left w:val="single" w:sz="6" w:space="0" w:color="A6A6A6"/>
              <w:bottom w:val="single" w:sz="6" w:space="0" w:color="A6A6A6"/>
              <w:right w:val="single" w:sz="6" w:space="0" w:color="A6A6A6"/>
            </w:tcBorders>
            <w:shd w:val="clear" w:color="auto" w:fill="EDEDED"/>
          </w:tcPr>
          <w:p w:rsidR="00F5537A" w:rsidRDefault="00BA352B">
            <w:pPr>
              <w:spacing w:before="40" w:after="40"/>
              <w:jc w:val="center"/>
              <w:rPr>
                <w:smallCaps/>
              </w:rPr>
            </w:pPr>
            <w:r>
              <w:rPr>
                <w:smallCaps/>
                <w:lang w:val="fr-FR"/>
              </w:rPr>
              <w:t>MICS</w:t>
            </w:r>
          </w:p>
          <w:p w:rsidR="00F5537A" w:rsidRDefault="00BA352B">
            <w:pPr>
              <w:spacing w:before="40" w:after="40"/>
              <w:jc w:val="center"/>
              <w:rPr>
                <w:smallCaps/>
              </w:rPr>
            </w:pPr>
            <w:r>
              <w:rPr>
                <w:smallCaps/>
                <w:lang w:val="fr-FR"/>
              </w:rPr>
              <w:t xml:space="preserve">(2016) </w:t>
            </w:r>
          </w:p>
        </w:tc>
        <w:tc>
          <w:tcPr>
            <w:tcW w:w="1158" w:type="dxa"/>
            <w:tcBorders>
              <w:top w:val="nil"/>
              <w:left w:val="single" w:sz="6" w:space="0" w:color="A6A6A6"/>
              <w:bottom w:val="single" w:sz="6" w:space="0" w:color="A6A6A6"/>
              <w:right w:val="single" w:sz="4" w:space="0" w:color="A6A6A6"/>
            </w:tcBorders>
            <w:shd w:val="clear" w:color="auto" w:fill="EDEDED"/>
          </w:tcPr>
          <w:p w:rsidR="00F5537A" w:rsidRDefault="00BA352B">
            <w:pPr>
              <w:spacing w:before="40" w:after="40"/>
              <w:jc w:val="center"/>
              <w:rPr>
                <w:smallCaps/>
              </w:rPr>
            </w:pPr>
            <w:r>
              <w:rPr>
                <w:smallCaps/>
                <w:lang w:val="fr-FR"/>
              </w:rPr>
              <w:t xml:space="preserve">DHS </w:t>
            </w:r>
          </w:p>
          <w:p w:rsidR="00F5537A" w:rsidRDefault="00BA352B">
            <w:pPr>
              <w:spacing w:before="40" w:after="40"/>
              <w:jc w:val="center"/>
              <w:rPr>
                <w:smallCaps/>
              </w:rPr>
            </w:pPr>
            <w:r>
              <w:rPr>
                <w:smallCaps/>
                <w:lang w:val="fr-FR"/>
              </w:rPr>
              <w:t>(11-12)</w:t>
            </w:r>
          </w:p>
        </w:tc>
        <w:tc>
          <w:tcPr>
            <w:tcW w:w="1216" w:type="dxa"/>
            <w:tcBorders>
              <w:top w:val="nil"/>
              <w:left w:val="single" w:sz="6" w:space="0" w:color="A6A6A6"/>
              <w:bottom w:val="single" w:sz="6" w:space="0" w:color="A6A6A6"/>
              <w:right w:val="single" w:sz="4" w:space="0" w:color="A6A6A6"/>
            </w:tcBorders>
            <w:shd w:val="clear" w:color="auto" w:fill="EDEDED"/>
          </w:tcPr>
          <w:p w:rsidR="00F5537A" w:rsidRDefault="00BA352B">
            <w:pPr>
              <w:spacing w:before="40" w:after="40"/>
              <w:jc w:val="center"/>
              <w:rPr>
                <w:smallCaps/>
              </w:rPr>
            </w:pPr>
            <w:r>
              <w:rPr>
                <w:smallCaps/>
                <w:lang w:val="fr-FR"/>
              </w:rPr>
              <w:t>KAP</w:t>
            </w:r>
          </w:p>
          <w:p w:rsidR="00F5537A" w:rsidRDefault="00BA352B">
            <w:pPr>
              <w:spacing w:before="40" w:after="40"/>
              <w:jc w:val="center"/>
              <w:rPr>
                <w:smallCaps/>
              </w:rPr>
            </w:pPr>
            <w:r>
              <w:rPr>
                <w:smallCaps/>
                <w:lang w:val="fr-FR"/>
              </w:rPr>
              <w:t xml:space="preserve">(2017)  </w:t>
            </w:r>
          </w:p>
        </w:tc>
        <w:tc>
          <w:tcPr>
            <w:tcW w:w="1158" w:type="dxa"/>
            <w:tcBorders>
              <w:top w:val="nil"/>
              <w:left w:val="single" w:sz="6" w:space="0" w:color="A6A6A6"/>
              <w:bottom w:val="single" w:sz="6" w:space="0" w:color="A6A6A6"/>
              <w:right w:val="single" w:sz="4" w:space="0" w:color="A6A6A6"/>
            </w:tcBorders>
            <w:shd w:val="clear" w:color="auto" w:fill="EDEDED"/>
          </w:tcPr>
          <w:p w:rsidR="00F5537A" w:rsidRDefault="00BA352B">
            <w:pPr>
              <w:spacing w:before="40" w:after="40"/>
              <w:jc w:val="center"/>
              <w:rPr>
                <w:smallCaps/>
              </w:rPr>
            </w:pPr>
            <w:r>
              <w:rPr>
                <w:smallCaps/>
                <w:lang w:val="fr-FR"/>
              </w:rPr>
              <w:t xml:space="preserve">MBS </w:t>
            </w:r>
          </w:p>
          <w:p w:rsidR="00F5537A" w:rsidRDefault="00BA352B">
            <w:pPr>
              <w:spacing w:before="40" w:after="40"/>
              <w:jc w:val="center"/>
              <w:rPr>
                <w:smallCaps/>
              </w:rPr>
            </w:pPr>
            <w:r>
              <w:rPr>
                <w:smallCaps/>
                <w:lang w:val="fr-FR"/>
              </w:rPr>
              <w:t>(2018)</w:t>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rPr>
                <w:b/>
              </w:rPr>
            </w:pPr>
            <w:r>
              <w:rPr>
                <w:b/>
                <w:lang w:val="fr-FR"/>
              </w:rPr>
              <w:t>Accès</w:t>
            </w:r>
          </w:p>
        </w:tc>
        <w:tc>
          <w:tcPr>
            <w:tcW w:w="1158" w:type="dxa"/>
            <w:tcBorders>
              <w:top w:val="single" w:sz="6" w:space="0" w:color="A6A6A6"/>
              <w:left w:val="single" w:sz="6" w:space="0" w:color="A6A6A6"/>
              <w:bottom w:val="single" w:sz="6" w:space="0" w:color="A6A6A6"/>
              <w:right w:val="single" w:sz="6"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personnes interrogées qui vivent à plus de 5 kilomètres de l</w:t>
            </w:r>
            <w:r w:rsidR="00AF04D8">
              <w:rPr>
                <w:lang w:val="fr-FR"/>
              </w:rPr>
              <w:t>’</w:t>
            </w:r>
            <w:r>
              <w:rPr>
                <w:lang w:val="fr-FR"/>
              </w:rPr>
              <w:t>établissement de santé le plus proche</w:t>
            </w:r>
          </w:p>
        </w:tc>
        <w:tc>
          <w:tcPr>
            <w:tcW w:w="1158"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3</w:t>
            </w:r>
            <w:r w:rsidR="00AF04D8">
              <w:rPr>
                <w:lang w:val="fr-FR"/>
              </w:rPr>
              <w:t> </w:t>
            </w:r>
            <w:r>
              <w:rPr>
                <w:lang w:val="fr-FR"/>
              </w:rPr>
              <w:t>%</w:t>
            </w:r>
          </w:p>
        </w:tc>
        <w:tc>
          <w:tcPr>
            <w:tcW w:w="121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158"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personnes interrogées qui estiment que les agents de santé communautaires (ASC) de leur communauté savent comment traiter le paludisme chez les enfants.</w:t>
            </w:r>
          </w:p>
        </w:tc>
        <w:tc>
          <w:tcPr>
            <w:tcW w:w="1158"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58"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81,7</w:t>
            </w:r>
            <w:r w:rsidR="00AF04D8">
              <w:rPr>
                <w:lang w:val="fr-FR"/>
              </w:rPr>
              <w:t> </w:t>
            </w:r>
            <w:r>
              <w:rPr>
                <w:lang w:val="fr-FR"/>
              </w:rPr>
              <w:t>%</w:t>
            </w:r>
          </w:p>
        </w:tc>
      </w:tr>
      <w:tr w:rsidR="00F5537A">
        <w:tc>
          <w:tcPr>
            <w:tcW w:w="466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personnes interrogées qui déclarent que les agents de santé de leur communauté font payer aux parents les médicaments contre le paludisme destinés aux enfants</w:t>
            </w:r>
          </w:p>
        </w:tc>
        <w:tc>
          <w:tcPr>
            <w:tcW w:w="1158"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58"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158"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73,6</w:t>
            </w:r>
            <w:r w:rsidR="00AF04D8">
              <w:rPr>
                <w:lang w:val="fr-FR"/>
              </w:rPr>
              <w:t> </w:t>
            </w:r>
            <w:r>
              <w:rPr>
                <w:lang w:val="fr-FR"/>
              </w:rPr>
              <w:t>%</w:t>
            </w:r>
          </w:p>
        </w:tc>
      </w:tr>
    </w:tbl>
    <w:p w:rsidR="00F5537A" w:rsidRDefault="00F5537A"/>
    <w:tbl>
      <w:tblPr>
        <w:tblStyle w:val="Table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0"/>
        <w:gridCol w:w="1136"/>
        <w:gridCol w:w="1136"/>
        <w:gridCol w:w="1239"/>
        <w:gridCol w:w="1239"/>
      </w:tblGrid>
      <w:tr w:rsidR="00F5537A">
        <w:tc>
          <w:tcPr>
            <w:tcW w:w="4600" w:type="dxa"/>
            <w:tcBorders>
              <w:top w:val="single" w:sz="6" w:space="0" w:color="A6A6A6"/>
              <w:left w:val="single" w:sz="4"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rPr>
                <w:b/>
              </w:rPr>
            </w:pPr>
            <w:r>
              <w:rPr>
                <w:b/>
                <w:lang w:val="fr-FR"/>
              </w:rPr>
              <w:t>Exposition</w:t>
            </w:r>
          </w:p>
        </w:tc>
        <w:tc>
          <w:tcPr>
            <w:tcW w:w="1136" w:type="dxa"/>
            <w:tcBorders>
              <w:top w:val="single" w:sz="6" w:space="0" w:color="A6A6A6"/>
              <w:left w:val="single" w:sz="6" w:space="0" w:color="A6A6A6"/>
              <w:bottom w:val="single" w:sz="6" w:space="0" w:color="A6A6A6"/>
              <w:right w:val="single" w:sz="6" w:space="0" w:color="A6A6A6"/>
            </w:tcBorders>
          </w:tcPr>
          <w:p w:rsidR="00F5537A" w:rsidRDefault="00F5537A">
            <w:pPr>
              <w:pBdr>
                <w:top w:val="nil"/>
                <w:left w:val="nil"/>
                <w:bottom w:val="nil"/>
                <w:right w:val="nil"/>
                <w:between w:val="nil"/>
              </w:pBdr>
              <w:spacing w:before="40" w:after="40"/>
            </w:pPr>
          </w:p>
        </w:tc>
        <w:tc>
          <w:tcPr>
            <w:tcW w:w="113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239"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239"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femmes exposées à la télévision, à la radio, aux journaux/magazines, aux affiches/brochures, aux panneaux d</w:t>
            </w:r>
            <w:r w:rsidR="00AF04D8">
              <w:rPr>
                <w:lang w:val="fr-FR"/>
              </w:rPr>
              <w:t>’</w:t>
            </w:r>
            <w:r>
              <w:rPr>
                <w:lang w:val="fr-FR"/>
              </w:rPr>
              <w:t>affichage, autres (utiliser une ligne pour chaque ligne disponible)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73,9</w:t>
            </w:r>
            <w:r w:rsidR="00AF04D8">
              <w:rPr>
                <w:lang w:val="fr-FR"/>
              </w:rPr>
              <w:t> </w:t>
            </w:r>
            <w:r>
              <w:rPr>
                <w:lang w:val="fr-FR"/>
              </w:rPr>
              <w:t>%</w:t>
            </w:r>
            <w:r>
              <w:rPr>
                <w:vertAlign w:val="superscript"/>
              </w:rPr>
              <w:footnoteReference w:id="10"/>
            </w: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38,9</w:t>
            </w:r>
            <w:r w:rsidR="00AF04D8">
              <w:rPr>
                <w:lang w:val="fr-FR"/>
              </w:rPr>
              <w:t> </w:t>
            </w:r>
            <w:r>
              <w:rPr>
                <w:lang w:val="fr-FR"/>
              </w:rPr>
              <w:t>%</w:t>
            </w:r>
            <w:r>
              <w:rPr>
                <w:vertAlign w:val="superscript"/>
              </w:rPr>
              <w:footnoteReference w:id="11"/>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Default="00BA352B">
            <w:pPr>
              <w:pBdr>
                <w:top w:val="nil"/>
                <w:left w:val="nil"/>
                <w:bottom w:val="nil"/>
                <w:right w:val="nil"/>
                <w:between w:val="nil"/>
              </w:pBdr>
              <w:spacing w:before="40" w:after="40"/>
              <w:rPr>
                <w:b/>
              </w:rPr>
            </w:pPr>
            <w:r>
              <w:rPr>
                <w:b/>
                <w:lang w:val="fr-FR"/>
              </w:rPr>
              <w:t>Connaissances</w:t>
            </w:r>
          </w:p>
        </w:tc>
        <w:tc>
          <w:tcPr>
            <w:tcW w:w="1136" w:type="dxa"/>
            <w:tcBorders>
              <w:top w:val="single" w:sz="6" w:space="0" w:color="A6A6A6"/>
              <w:left w:val="single" w:sz="6" w:space="0" w:color="A6A6A6"/>
              <w:bottom w:val="single" w:sz="6" w:space="0" w:color="A6A6A6"/>
              <w:right w:val="single" w:sz="6" w:space="0" w:color="A6A6A6"/>
            </w:tcBorders>
          </w:tcPr>
          <w:p w:rsidR="00F5537A" w:rsidRDefault="00F5537A">
            <w:pPr>
              <w:pBdr>
                <w:top w:val="nil"/>
                <w:left w:val="nil"/>
                <w:bottom w:val="nil"/>
                <w:right w:val="nil"/>
                <w:between w:val="nil"/>
              </w:pBdr>
              <w:spacing w:before="40" w:after="40"/>
            </w:pPr>
          </w:p>
        </w:tc>
        <w:tc>
          <w:tcPr>
            <w:tcW w:w="1136"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239"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c>
          <w:tcPr>
            <w:tcW w:w="1239" w:type="dxa"/>
            <w:tcBorders>
              <w:top w:val="single" w:sz="6" w:space="0" w:color="A6A6A6"/>
              <w:left w:val="single" w:sz="6" w:space="0" w:color="A6A6A6"/>
              <w:bottom w:val="single" w:sz="6" w:space="0" w:color="A6A6A6"/>
              <w:right w:val="single" w:sz="4" w:space="0" w:color="A6A6A6"/>
            </w:tcBorders>
          </w:tcPr>
          <w:p w:rsidR="00F5537A" w:rsidRDefault="00F5537A">
            <w:pPr>
              <w:pBdr>
                <w:top w:val="nil"/>
                <w:left w:val="nil"/>
                <w:bottom w:val="nil"/>
                <w:right w:val="nil"/>
                <w:between w:val="nil"/>
              </w:pBdr>
              <w:spacing w:before="40" w:after="40"/>
            </w:pP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personnes interrogées qui savaient que les moustiques propagent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92,9</w:t>
            </w:r>
            <w:r w:rsidR="00AF04D8">
              <w:rPr>
                <w:lang w:val="fr-FR"/>
              </w:rPr>
              <w:t> </w:t>
            </w:r>
            <w:r>
              <w:rPr>
                <w:lang w:val="fr-FR"/>
              </w:rPr>
              <w:t>%</w:t>
            </w: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91,4</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soignants qui citent la fièvre comme principal signe du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59,2 %</w:t>
            </w:r>
            <w:r>
              <w:rPr>
                <w:vertAlign w:val="superscript"/>
              </w:rPr>
              <w:footnoteReference w:id="12"/>
            </w: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79,7 %</w:t>
            </w:r>
            <w:r>
              <w:rPr>
                <w:vertAlign w:val="superscript"/>
              </w:rPr>
              <w:footnoteReference w:id="13"/>
            </w: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rPr>
                <w:b/>
                <w:lang w:val="fr-FR"/>
              </w:rPr>
            </w:pPr>
            <w:r>
              <w:rPr>
                <w:b/>
                <w:lang w:val="fr-FR"/>
              </w:rPr>
              <w:t>Attitudes de recherche de soins</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ayant une attitude positive à l</w:t>
            </w:r>
            <w:r w:rsidR="00AF04D8">
              <w:rPr>
                <w:lang w:val="fr-FR"/>
              </w:rPr>
              <w:t>’</w:t>
            </w:r>
            <w:r>
              <w:rPr>
                <w:lang w:val="fr-FR"/>
              </w:rPr>
              <w:t>égard du traitement du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93</w:t>
            </w:r>
            <w:r w:rsidR="00AF04D8">
              <w:rPr>
                <w:lang w:val="fr-FR"/>
              </w:rPr>
              <w:t> </w:t>
            </w:r>
            <w:r>
              <w:rPr>
                <w:lang w:val="fr-FR"/>
              </w:rPr>
              <w:t>%</w:t>
            </w:r>
            <w:r>
              <w:rPr>
                <w:vertAlign w:val="superscript"/>
              </w:rPr>
              <w:footnoteReference w:id="14"/>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lastRenderedPageBreak/>
              <w:t>Proportion de personnes s</w:t>
            </w:r>
            <w:r w:rsidR="00AF04D8">
              <w:rPr>
                <w:lang w:val="fr-FR"/>
              </w:rPr>
              <w:t>’</w:t>
            </w:r>
            <w:r>
              <w:rPr>
                <w:lang w:val="fr-FR"/>
              </w:rPr>
              <w:t>occupant d</w:t>
            </w:r>
            <w:r w:rsidR="00AF04D8">
              <w:rPr>
                <w:lang w:val="fr-FR"/>
              </w:rPr>
              <w:t>’</w:t>
            </w:r>
            <w:r>
              <w:rPr>
                <w:lang w:val="fr-FR"/>
              </w:rPr>
              <w:t>enfants qui pensent qu</w:t>
            </w:r>
            <w:r w:rsidR="00AF04D8">
              <w:rPr>
                <w:lang w:val="fr-FR"/>
              </w:rPr>
              <w:t>’</w:t>
            </w:r>
            <w:r>
              <w:rPr>
                <w:lang w:val="fr-FR"/>
              </w:rPr>
              <w:t>un agent de santé est toujours la meilleure personne à qui parler lorsqu</w:t>
            </w:r>
            <w:r w:rsidR="00AF04D8">
              <w:rPr>
                <w:lang w:val="fr-FR"/>
              </w:rPr>
              <w:t>’</w:t>
            </w:r>
            <w:r>
              <w:rPr>
                <w:lang w:val="fr-FR"/>
              </w:rPr>
              <w:t>un enfant a (ou est suspecté d</w:t>
            </w:r>
            <w:r w:rsidR="00AF04D8">
              <w:rPr>
                <w:lang w:val="fr-FR"/>
              </w:rPr>
              <w:t>’</w:t>
            </w:r>
            <w:r>
              <w:rPr>
                <w:lang w:val="fr-FR"/>
              </w:rPr>
              <w:t>avoir)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96,3</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personnes s</w:t>
            </w:r>
            <w:r w:rsidR="00AF04D8">
              <w:rPr>
                <w:lang w:val="fr-FR"/>
              </w:rPr>
              <w:t>’</w:t>
            </w:r>
            <w:r>
              <w:rPr>
                <w:lang w:val="fr-FR"/>
              </w:rPr>
              <w:t>occupant d</w:t>
            </w:r>
            <w:r w:rsidR="00AF04D8">
              <w:rPr>
                <w:lang w:val="fr-FR"/>
              </w:rPr>
              <w:t>’</w:t>
            </w:r>
            <w:r>
              <w:rPr>
                <w:lang w:val="fr-FR"/>
              </w:rPr>
              <w:t>un enfant qui pensent qu</w:t>
            </w:r>
            <w:r w:rsidR="00AF04D8">
              <w:rPr>
                <w:lang w:val="fr-FR"/>
              </w:rPr>
              <w:t>’</w:t>
            </w:r>
            <w:r>
              <w:rPr>
                <w:lang w:val="fr-FR"/>
              </w:rPr>
              <w:t>il faut l</w:t>
            </w:r>
            <w:r w:rsidR="00AF04D8">
              <w:rPr>
                <w:lang w:val="fr-FR"/>
              </w:rPr>
              <w:t>’</w:t>
            </w:r>
            <w:r>
              <w:rPr>
                <w:lang w:val="fr-FR"/>
              </w:rPr>
              <w:t>emmener chez un agent de santé le jour même où la fièvre commence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92</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estiment qu</w:t>
            </w:r>
            <w:r w:rsidR="00AF04D8">
              <w:rPr>
                <w:lang w:val="fr-FR"/>
              </w:rPr>
              <w:t>’</w:t>
            </w:r>
            <w:r>
              <w:rPr>
                <w:lang w:val="fr-FR"/>
              </w:rPr>
              <w:t>un test sanguin est nécessaire pour confirmer que la maladie est causée par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87,6</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estiment que tous les comprimés antipaludiques prescrits par l</w:t>
            </w:r>
            <w:r w:rsidR="00AF04D8">
              <w:rPr>
                <w:lang w:val="fr-FR"/>
              </w:rPr>
              <w:t>’</w:t>
            </w:r>
            <w:r>
              <w:rPr>
                <w:lang w:val="fr-FR"/>
              </w:rPr>
              <w:t>agent de la santé doivent être pris</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92,6</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soignants qui estiment qu</w:t>
            </w:r>
            <w:r w:rsidR="00AF04D8">
              <w:rPr>
                <w:lang w:val="fr-FR"/>
              </w:rPr>
              <w:t>’</w:t>
            </w:r>
            <w:r>
              <w:rPr>
                <w:lang w:val="fr-FR"/>
              </w:rPr>
              <w:t>il est préférable de commencer à leur donner des médicaments contre le paludisme à domicile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58,9</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soignants qui pensent que les médicaments contre le paludisme ne doivent être pris que si un agent de santé dit que leur rechute est causée par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92,6</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estiment qu</w:t>
            </w:r>
            <w:r w:rsidR="00AF04D8">
              <w:rPr>
                <w:lang w:val="fr-FR"/>
              </w:rPr>
              <w:t>’</w:t>
            </w:r>
            <w:r>
              <w:rPr>
                <w:lang w:val="fr-FR"/>
              </w:rPr>
              <w:t>il est important de prendre tous les médicaments antipaludiques prescrits pour garantir un traitement complet du patient</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96,5</w:t>
            </w:r>
            <w:r w:rsidR="00AF04D8">
              <w:rPr>
                <w:lang w:val="fr-FR"/>
              </w:rPr>
              <w:t> </w:t>
            </w:r>
            <w:r>
              <w:rPr>
                <w:lang w:val="fr-FR"/>
              </w:rPr>
              <w:t>%</w:t>
            </w: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rPr>
                <w:b/>
                <w:lang w:val="fr-FR"/>
              </w:rPr>
            </w:pPr>
            <w:r>
              <w:rPr>
                <w:b/>
                <w:lang w:val="fr-FR"/>
              </w:rPr>
              <w:t>Essais et efficacité de la réponse au traitement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pensent que les tests de diagnostic sont efficaces</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58,4</w:t>
            </w:r>
            <w:r w:rsidR="00AF04D8">
              <w:rPr>
                <w:lang w:val="fr-FR"/>
              </w:rPr>
              <w:t> </w:t>
            </w:r>
            <w:r>
              <w:rPr>
                <w:lang w:val="fr-FR"/>
              </w:rPr>
              <w:t>%</w:t>
            </w:r>
            <w:r>
              <w:rPr>
                <w:vertAlign w:val="superscript"/>
              </w:rPr>
              <w:footnoteReference w:id="15"/>
            </w:r>
          </w:p>
          <w:p w:rsidR="00F5537A" w:rsidRDefault="00F5537A">
            <w:pPr>
              <w:pBdr>
                <w:top w:val="nil"/>
                <w:left w:val="nil"/>
                <w:bottom w:val="nil"/>
                <w:right w:val="nil"/>
                <w:between w:val="nil"/>
              </w:pBdr>
              <w:spacing w:before="40" w:after="40"/>
            </w:pP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pensent qu</w:t>
            </w:r>
            <w:r w:rsidR="00AF04D8">
              <w:rPr>
                <w:lang w:val="fr-FR"/>
              </w:rPr>
              <w:t>’</w:t>
            </w:r>
            <w:r>
              <w:rPr>
                <w:lang w:val="fr-FR"/>
              </w:rPr>
              <w:t>un test sanguin pour confirmer le paludisme est le seul moyen de savoir si une personne est réellement atteinte de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84,8</w:t>
            </w:r>
            <w:r w:rsidR="00AF04D8">
              <w:rPr>
                <w:lang w:val="fr-FR"/>
              </w:rPr>
              <w:t> </w:t>
            </w:r>
            <w:r>
              <w:rPr>
                <w:lang w:val="fr-FR"/>
              </w:rPr>
              <w:t>% de femmes</w:t>
            </w:r>
            <w:r w:rsidR="00AF04D8">
              <w:rPr>
                <w:lang w:val="fr-FR"/>
              </w:rPr>
              <w:t> </w:t>
            </w:r>
            <w:r>
              <w:rPr>
                <w:lang w:val="fr-FR"/>
              </w:rPr>
              <w:t>; 84,6</w:t>
            </w:r>
            <w:r w:rsidR="00AF04D8">
              <w:rPr>
                <w:lang w:val="fr-FR"/>
              </w:rPr>
              <w:t> </w:t>
            </w:r>
            <w:r>
              <w:rPr>
                <w:lang w:val="fr-FR"/>
              </w:rPr>
              <w:t>% d</w:t>
            </w:r>
            <w:r w:rsidR="00AF04D8">
              <w:rPr>
                <w:lang w:val="fr-FR"/>
              </w:rPr>
              <w:t>’</w:t>
            </w:r>
            <w:r>
              <w:rPr>
                <w:lang w:val="fr-FR"/>
              </w:rPr>
              <w:t>hommes</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soignants qui pensent que les médicaments contre le paludisme doivent être pris même si les résultats du test de diagnostic indiquent que la fièvre n</w:t>
            </w:r>
            <w:r w:rsidR="00AF04D8">
              <w:rPr>
                <w:lang w:val="fr-FR"/>
              </w:rPr>
              <w:t>’</w:t>
            </w:r>
            <w:r>
              <w:rPr>
                <w:lang w:val="fr-FR"/>
              </w:rPr>
              <w:t>est pas causée par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34,2</w:t>
            </w:r>
            <w:r w:rsidR="00AF04D8">
              <w:rPr>
                <w:lang w:val="fr-FR"/>
              </w:rPr>
              <w:t> </w:t>
            </w:r>
            <w:r>
              <w:rPr>
                <w:lang w:val="fr-FR"/>
              </w:rPr>
              <w:t>% de femmes</w:t>
            </w:r>
            <w:r w:rsidR="00AF04D8">
              <w:rPr>
                <w:lang w:val="fr-FR"/>
              </w:rPr>
              <w:t> </w:t>
            </w:r>
            <w:r>
              <w:rPr>
                <w:lang w:val="fr-FR"/>
              </w:rPr>
              <w:t>; 31,7</w:t>
            </w:r>
            <w:r w:rsidR="00AF04D8">
              <w:rPr>
                <w:lang w:val="fr-FR"/>
              </w:rPr>
              <w:t> </w:t>
            </w:r>
            <w:r>
              <w:rPr>
                <w:lang w:val="fr-FR"/>
              </w:rPr>
              <w:t>% d</w:t>
            </w:r>
            <w:r w:rsidR="00AF04D8">
              <w:rPr>
                <w:lang w:val="fr-FR"/>
              </w:rPr>
              <w:t>’</w:t>
            </w:r>
            <w:r>
              <w:rPr>
                <w:lang w:val="fr-FR"/>
              </w:rPr>
              <w:t>hommes</w:t>
            </w: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rPr>
                <w:b/>
                <w:lang w:val="fr-FR"/>
              </w:rPr>
            </w:pPr>
            <w:r>
              <w:rPr>
                <w:b/>
                <w:lang w:val="fr-FR"/>
              </w:rPr>
              <w:t>Auto-efficacité pour rechercher des soins, tester et traiter</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personnes qui sont sûres de pouvoir emmener leur enfant de moins de 5 ans dans un établissement de santé dès les premiers signes de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94,7</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lastRenderedPageBreak/>
              <w:t>Proportion de personnes qui sont convaincues de pouvoir trouver l</w:t>
            </w:r>
            <w:r w:rsidR="00AF04D8">
              <w:rPr>
                <w:lang w:val="fr-FR"/>
              </w:rPr>
              <w:t>’</w:t>
            </w:r>
            <w:r>
              <w:rPr>
                <w:lang w:val="fr-FR"/>
              </w:rPr>
              <w:t>argent nécessaire pour emmener leur enfant de moins de 5 ans dans un établissement de santé dès les premiers signes de fièvre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95,5 %</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personnes qui sont sûres de pouvoir trouver l</w:t>
            </w:r>
            <w:r w:rsidR="00AF04D8">
              <w:rPr>
                <w:lang w:val="fr-FR"/>
              </w:rPr>
              <w:t>’</w:t>
            </w:r>
            <w:r>
              <w:rPr>
                <w:lang w:val="fr-FR"/>
              </w:rPr>
              <w:t>argent nécessaire pour payer les médicaments que le prestataire de soins recommande pour traiter le paludisme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95,7</w:t>
            </w:r>
            <w:r w:rsidR="00AF04D8">
              <w:rPr>
                <w:lang w:val="fr-FR"/>
              </w:rPr>
              <w:t> </w:t>
            </w:r>
            <w:r>
              <w:rPr>
                <w:lang w:val="fr-FR"/>
              </w:rPr>
              <w:t>%</w:t>
            </w:r>
          </w:p>
        </w:tc>
      </w:tr>
      <w:tr w:rsidR="00F5537A" w:rsidRPr="00E54F7F">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Énumérer d</w:t>
            </w:r>
            <w:r w:rsidR="00AF04D8">
              <w:rPr>
                <w:lang w:val="fr-FR"/>
              </w:rPr>
              <w:t>’</w:t>
            </w:r>
            <w:r>
              <w:rPr>
                <w:lang w:val="fr-FR"/>
              </w:rPr>
              <w:t>autres attitudes d</w:t>
            </w:r>
            <w:r w:rsidR="00AF04D8">
              <w:rPr>
                <w:lang w:val="fr-FR"/>
              </w:rPr>
              <w:t>’</w:t>
            </w:r>
            <w:r>
              <w:rPr>
                <w:lang w:val="fr-FR"/>
              </w:rPr>
              <w:t xml:space="preserve">auto-efficacité </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rPr>
                <w:b/>
                <w:lang w:val="fr-FR"/>
              </w:rPr>
            </w:pPr>
            <w:r>
              <w:rPr>
                <w:b/>
                <w:lang w:val="fr-FR"/>
              </w:rPr>
              <w:t>Normes sociales concernant la recherche de soins, le dépistage et le traitement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 personnes qui pensent que la plupart des enfants de moins de 5 ans de leur communauté sont emmenés dans un établissement de santé pour y subir un test de dépistage de la fièvre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92,1</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 xml:space="preserve">Proportion de personnes qui pensent que la plupart des membres de leur communauté emmènent leurs enfants de moins de 5 ans chez un professionnel de la santé le jour même </w:t>
            </w:r>
            <w:proofErr w:type="spellStart"/>
            <w:r>
              <w:rPr>
                <w:lang w:val="fr-FR"/>
              </w:rPr>
              <w:t>ou</w:t>
            </w:r>
            <w:proofErr w:type="spellEnd"/>
            <w:r>
              <w:rPr>
                <w:lang w:val="fr-FR"/>
              </w:rPr>
              <w:t xml:space="preserve"> le lendemain après qu</w:t>
            </w:r>
            <w:r w:rsidR="00AF04D8">
              <w:rPr>
                <w:lang w:val="fr-FR"/>
              </w:rPr>
              <w:t>’</w:t>
            </w:r>
            <w:r>
              <w:rPr>
                <w:lang w:val="fr-FR"/>
              </w:rPr>
              <w:t>ils ont fait de la fièvre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93,5</w:t>
            </w:r>
            <w:r w:rsidR="00AF04D8">
              <w:rPr>
                <w:lang w:val="fr-FR"/>
              </w:rPr>
              <w:t> </w:t>
            </w:r>
            <w:r>
              <w:rPr>
                <w:lang w:val="fr-FR"/>
              </w:rPr>
              <w: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Énumérer d</w:t>
            </w:r>
            <w:r w:rsidR="00AF04D8">
              <w:rPr>
                <w:lang w:val="fr-FR"/>
              </w:rPr>
              <w:t>’</w:t>
            </w:r>
            <w:r>
              <w:rPr>
                <w:lang w:val="fr-FR"/>
              </w:rPr>
              <w:t>autres attitudes de normes sociales</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98,1</w:t>
            </w:r>
            <w:r w:rsidR="00AF04D8">
              <w:rPr>
                <w:lang w:val="fr-FR"/>
              </w:rPr>
              <w:t> </w:t>
            </w:r>
            <w:r>
              <w:rPr>
                <w:lang w:val="fr-FR"/>
              </w:rPr>
              <w:t>%</w:t>
            </w:r>
          </w:p>
        </w:tc>
      </w:tr>
      <w:tr w:rsidR="00F5537A" w:rsidRPr="00E54F7F">
        <w:tc>
          <w:tcPr>
            <w:tcW w:w="9350" w:type="dxa"/>
            <w:gridSpan w:val="5"/>
            <w:tcBorders>
              <w:top w:val="single" w:sz="6" w:space="0" w:color="A6A6A6"/>
              <w:left w:val="single" w:sz="4" w:space="0" w:color="A6A6A6"/>
              <w:bottom w:val="single" w:sz="6" w:space="0" w:color="A6A6A6"/>
              <w:right w:val="single" w:sz="4" w:space="0" w:color="A6A6A6"/>
            </w:tcBorders>
          </w:tcPr>
          <w:p w:rsidR="00F5537A" w:rsidRPr="00AF04D8" w:rsidRDefault="00BA352B">
            <w:pPr>
              <w:pBdr>
                <w:top w:val="nil"/>
                <w:left w:val="nil"/>
                <w:bottom w:val="nil"/>
                <w:right w:val="nil"/>
                <w:between w:val="nil"/>
              </w:pBdr>
              <w:spacing w:before="40" w:after="40"/>
              <w:rPr>
                <w:b/>
                <w:lang w:val="fr-FR"/>
              </w:rPr>
            </w:pPr>
            <w:r>
              <w:rPr>
                <w:b/>
                <w:lang w:val="fr-FR"/>
              </w:rPr>
              <w:t>Prise de décision concernant la recherche de soins, le dépistage et le traitement</w:t>
            </w:r>
          </w:p>
        </w:tc>
      </w:tr>
      <w:tr w:rsidR="00F5537A">
        <w:tc>
          <w:tcPr>
            <w:tcW w:w="4600" w:type="dxa"/>
            <w:tcBorders>
              <w:top w:val="single" w:sz="6" w:space="0" w:color="A6A6A6"/>
              <w:left w:val="single" w:sz="4" w:space="0" w:color="A6A6A6"/>
              <w:bottom w:val="single" w:sz="6" w:space="0" w:color="A6A6A6"/>
              <w:right w:val="single" w:sz="6" w:space="0" w:color="A6A6A6"/>
            </w:tcBorders>
          </w:tcPr>
          <w:p w:rsidR="00F5537A" w:rsidRPr="00AF04D8" w:rsidRDefault="00BA352B">
            <w:pPr>
              <w:pBdr>
                <w:top w:val="nil"/>
                <w:left w:val="nil"/>
                <w:bottom w:val="nil"/>
                <w:right w:val="nil"/>
                <w:between w:val="nil"/>
              </w:pBdr>
              <w:spacing w:before="40" w:after="40"/>
              <w:rPr>
                <w:lang w:val="fr-FR"/>
              </w:rPr>
            </w:pPr>
            <w:r>
              <w:rPr>
                <w:lang w:val="fr-FR"/>
              </w:rPr>
              <w:t>Proportion des personnes s</w:t>
            </w:r>
            <w:r w:rsidR="00AF04D8">
              <w:rPr>
                <w:lang w:val="fr-FR"/>
              </w:rPr>
              <w:t>’</w:t>
            </w:r>
            <w:r>
              <w:rPr>
                <w:lang w:val="fr-FR"/>
              </w:rPr>
              <w:t>occupant d</w:t>
            </w:r>
            <w:r w:rsidR="00AF04D8">
              <w:rPr>
                <w:lang w:val="fr-FR"/>
              </w:rPr>
              <w:t>’</w:t>
            </w:r>
            <w:r>
              <w:rPr>
                <w:lang w:val="fr-FR"/>
              </w:rPr>
              <w:t>enfants qui prennent généralement des décisions sur ce qu</w:t>
            </w:r>
            <w:r w:rsidR="00AF04D8">
              <w:rPr>
                <w:lang w:val="fr-FR"/>
              </w:rPr>
              <w:t>’</w:t>
            </w:r>
            <w:r>
              <w:rPr>
                <w:lang w:val="fr-FR"/>
              </w:rPr>
              <w:t>il faut faire lorsqu</w:t>
            </w:r>
            <w:r w:rsidR="00AF04D8">
              <w:rPr>
                <w:lang w:val="fr-FR"/>
              </w:rPr>
              <w:t>’</w:t>
            </w:r>
            <w:r>
              <w:rPr>
                <w:lang w:val="fr-FR"/>
              </w:rPr>
              <w:t>un enfant de moins de 5 ans a de la fièvre</w:t>
            </w:r>
          </w:p>
        </w:tc>
        <w:tc>
          <w:tcPr>
            <w:tcW w:w="1136" w:type="dxa"/>
            <w:tcBorders>
              <w:top w:val="single" w:sz="6" w:space="0" w:color="A6A6A6"/>
              <w:left w:val="single" w:sz="6" w:space="0" w:color="A6A6A6"/>
              <w:bottom w:val="single" w:sz="6" w:space="0" w:color="A6A6A6"/>
              <w:right w:val="single" w:sz="6" w:space="0" w:color="A6A6A6"/>
            </w:tcBorders>
          </w:tcPr>
          <w:p w:rsidR="00F5537A" w:rsidRPr="00AF04D8" w:rsidRDefault="00F5537A">
            <w:pPr>
              <w:pBdr>
                <w:top w:val="nil"/>
                <w:left w:val="nil"/>
                <w:bottom w:val="nil"/>
                <w:right w:val="nil"/>
                <w:between w:val="nil"/>
              </w:pBdr>
              <w:spacing w:before="40" w:after="40"/>
              <w:rPr>
                <w:lang w:val="fr-FR"/>
              </w:rPr>
            </w:pPr>
          </w:p>
        </w:tc>
        <w:tc>
          <w:tcPr>
            <w:tcW w:w="1136"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Pr="00AF04D8" w:rsidRDefault="00F5537A">
            <w:pPr>
              <w:pBdr>
                <w:top w:val="nil"/>
                <w:left w:val="nil"/>
                <w:bottom w:val="nil"/>
                <w:right w:val="nil"/>
                <w:between w:val="nil"/>
              </w:pBdr>
              <w:spacing w:before="40" w:after="40"/>
              <w:rPr>
                <w:lang w:val="fr-FR"/>
              </w:rPr>
            </w:pPr>
          </w:p>
        </w:tc>
        <w:tc>
          <w:tcPr>
            <w:tcW w:w="1239" w:type="dxa"/>
            <w:tcBorders>
              <w:top w:val="single" w:sz="6" w:space="0" w:color="A6A6A6"/>
              <w:left w:val="single" w:sz="6" w:space="0" w:color="A6A6A6"/>
              <w:bottom w:val="single" w:sz="6" w:space="0" w:color="A6A6A6"/>
              <w:right w:val="single" w:sz="4" w:space="0" w:color="A6A6A6"/>
            </w:tcBorders>
          </w:tcPr>
          <w:p w:rsidR="00F5537A" w:rsidRDefault="00BA352B">
            <w:pPr>
              <w:pBdr>
                <w:top w:val="nil"/>
                <w:left w:val="nil"/>
                <w:bottom w:val="nil"/>
                <w:right w:val="nil"/>
                <w:between w:val="nil"/>
              </w:pBdr>
              <w:spacing w:before="40" w:after="40"/>
            </w:pPr>
            <w:r>
              <w:rPr>
                <w:lang w:val="fr-FR"/>
              </w:rPr>
              <w:t>73,2</w:t>
            </w:r>
            <w:r w:rsidR="00AF04D8">
              <w:rPr>
                <w:lang w:val="fr-FR"/>
              </w:rPr>
              <w:t> </w:t>
            </w:r>
            <w:r>
              <w:rPr>
                <w:lang w:val="fr-FR"/>
              </w:rPr>
              <w:t>%</w:t>
            </w:r>
          </w:p>
        </w:tc>
      </w:tr>
    </w:tbl>
    <w:p w:rsidR="00F5537A" w:rsidRDefault="00F5537A"/>
    <w:p w:rsidR="00F5537A" w:rsidRPr="00AF04D8" w:rsidRDefault="00BA352B">
      <w:pPr>
        <w:rPr>
          <w:lang w:val="fr-FR"/>
        </w:rPr>
      </w:pPr>
      <w:r>
        <w:rPr>
          <w:lang w:val="fr-FR"/>
        </w:rPr>
        <w:t xml:space="preserve">Cette ressource fait partie de la </w:t>
      </w:r>
      <w:hyperlink r:id="rId14" w:history="1">
        <w:r>
          <w:rPr>
            <w:color w:val="1155CC"/>
            <w:u w:val="single"/>
            <w:lang w:val="fr-FR"/>
          </w:rPr>
          <w:t>boîte à outils pour le développement de la stratégie de CSC en matière de paludisme</w:t>
        </w:r>
      </w:hyperlink>
    </w:p>
    <w:sectPr w:rsidR="00F5537A" w:rsidRPr="00AF04D8">
      <w:footerReference w:type="first" r:id="rId15"/>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48" w:rsidRDefault="00B26A48">
      <w:pPr>
        <w:spacing w:after="0" w:line="240" w:lineRule="auto"/>
      </w:pPr>
      <w:r>
        <w:separator/>
      </w:r>
    </w:p>
  </w:endnote>
  <w:endnote w:type="continuationSeparator" w:id="0">
    <w:p w:rsidR="00B26A48" w:rsidRDefault="00B2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D8" w:rsidRDefault="00AF04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7A" w:rsidRPr="00AF04D8" w:rsidRDefault="00BA352B">
    <w:pPr>
      <w:pBdr>
        <w:top w:val="nil"/>
        <w:left w:val="nil"/>
        <w:bottom w:val="nil"/>
        <w:right w:val="nil"/>
        <w:between w:val="nil"/>
      </w:pBdr>
      <w:tabs>
        <w:tab w:val="center" w:pos="4680"/>
        <w:tab w:val="right" w:pos="9360"/>
      </w:tabs>
      <w:spacing w:after="0" w:line="240" w:lineRule="auto"/>
      <w:rPr>
        <w:lang w:val="fr-FR"/>
      </w:rPr>
    </w:pPr>
    <w:r>
      <w:rPr>
        <w:lang w:val="fr-FR"/>
      </w:rPr>
      <w:t>Synthèse des données sur les changements sociaux et comportementaux : gestion des cas de paludisme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7A" w:rsidRDefault="00BA352B">
    <w:pPr>
      <w:pBdr>
        <w:top w:val="nil"/>
        <w:left w:val="nil"/>
        <w:bottom w:val="nil"/>
        <w:right w:val="nil"/>
        <w:between w:val="nil"/>
      </w:pBdr>
      <w:tabs>
        <w:tab w:val="center" w:pos="4680"/>
        <w:tab w:val="right" w:pos="9360"/>
      </w:tabs>
      <w:spacing w:after="0" w:line="240" w:lineRule="auto"/>
    </w:pPr>
    <w:r>
      <w:rPr>
        <w:lang w:val="fr-FR"/>
      </w:rPr>
      <w:t>[Titre du document]</w:t>
    </w:r>
    <w:r>
      <w:rPr>
        <w:lang w:val="fr-FR"/>
      </w:rPr>
      <w:tab/>
      <w:t xml:space="preserve">| </w:t>
    </w:r>
    <w:r>
      <w:rPr>
        <w:lang w:val="fr-FR"/>
      </w:rPr>
      <w:fldChar w:fldCharType="begin"/>
    </w:r>
    <w:r>
      <w:rPr>
        <w:lang w:val="fr-FR"/>
      </w:rPr>
      <w:instrText>PAGE</w:instrText>
    </w:r>
    <w:r>
      <w:rPr>
        <w:lang w:val="fr-F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7A" w:rsidRPr="00AF04D8" w:rsidRDefault="00BA352B">
    <w:pPr>
      <w:pBdr>
        <w:top w:val="nil"/>
        <w:left w:val="nil"/>
        <w:bottom w:val="nil"/>
        <w:right w:val="nil"/>
        <w:between w:val="nil"/>
      </w:pBdr>
      <w:tabs>
        <w:tab w:val="center" w:pos="4680"/>
        <w:tab w:val="right" w:pos="9360"/>
      </w:tabs>
      <w:spacing w:after="0" w:line="240" w:lineRule="auto"/>
      <w:rPr>
        <w:lang w:val="fr-FR"/>
      </w:rPr>
    </w:pPr>
    <w:r>
      <w:rPr>
        <w:lang w:val="fr-FR"/>
      </w:rPr>
      <w:t>Synthèse des données sur les changements sociaux et comportementaux : Exemple : Côte d'Ivoire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48" w:rsidRDefault="00B26A48">
      <w:pPr>
        <w:spacing w:after="0" w:line="240" w:lineRule="auto"/>
      </w:pPr>
      <w:r>
        <w:separator/>
      </w:r>
    </w:p>
  </w:footnote>
  <w:footnote w:type="continuationSeparator" w:id="0">
    <w:p w:rsidR="00B26A48" w:rsidRDefault="00B26A48">
      <w:pPr>
        <w:spacing w:after="0" w:line="240" w:lineRule="auto"/>
      </w:pPr>
      <w:r>
        <w:continuationSeparator/>
      </w:r>
    </w:p>
  </w:footnote>
  <w:footnote w:id="1">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Parmi les enfants de moins de cinq ans ayant eu de la fièvre au cours des deux dernières semaines, pourcentage de ceux pour lesquels un conseil ou un traitement a été demandé à un prestataire ou à un centre de santé</w:t>
      </w:r>
    </w:p>
  </w:footnote>
  <w:footnote w:id="2">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Pourcentage de personnes ayant demandé des conseils ou un traitement dans un établissement de santé ou une pharmacie (ne précise pas le jour même </w:t>
      </w:r>
      <w:proofErr w:type="spellStart"/>
      <w:r>
        <w:rPr>
          <w:sz w:val="18"/>
          <w:szCs w:val="18"/>
          <w:lang w:val="fr-FR"/>
        </w:rPr>
        <w:t>ou</w:t>
      </w:r>
      <w:proofErr w:type="spellEnd"/>
      <w:r>
        <w:rPr>
          <w:sz w:val="18"/>
          <w:szCs w:val="18"/>
          <w:lang w:val="fr-FR"/>
        </w:rPr>
        <w:t xml:space="preserve"> le lendemain</w:t>
      </w:r>
    </w:p>
  </w:footnote>
  <w:footnote w:id="3">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Ont demandé des soins le jour même </w:t>
      </w:r>
      <w:proofErr w:type="spellStart"/>
      <w:r>
        <w:rPr>
          <w:sz w:val="18"/>
          <w:szCs w:val="18"/>
          <w:lang w:val="fr-FR"/>
        </w:rPr>
        <w:t>ou</w:t>
      </w:r>
      <w:proofErr w:type="spellEnd"/>
      <w:r>
        <w:rPr>
          <w:sz w:val="18"/>
          <w:szCs w:val="18"/>
          <w:lang w:val="fr-FR"/>
        </w:rPr>
        <w:t xml:space="preserve"> le lendemain où la fièvre a commencé</w:t>
      </w:r>
      <w:r w:rsidR="00AF04D8">
        <w:rPr>
          <w:sz w:val="18"/>
          <w:szCs w:val="18"/>
          <w:lang w:val="fr-FR"/>
        </w:rPr>
        <w:t> </w:t>
      </w:r>
      <w:r>
        <w:rPr>
          <w:sz w:val="18"/>
          <w:szCs w:val="18"/>
          <w:lang w:val="fr-FR"/>
        </w:rPr>
        <w:t>; 62,8</w:t>
      </w:r>
      <w:r w:rsidR="00AF04D8">
        <w:rPr>
          <w:sz w:val="18"/>
          <w:szCs w:val="18"/>
          <w:lang w:val="fr-FR"/>
        </w:rPr>
        <w:t> </w:t>
      </w:r>
      <w:r>
        <w:rPr>
          <w:sz w:val="18"/>
          <w:szCs w:val="18"/>
          <w:lang w:val="fr-FR"/>
        </w:rPr>
        <w:t>% se sont rendus dans un établissement de santé ou chez un agent de santé communautaire dans les 24 premières heures</w:t>
      </w:r>
      <w:r w:rsidR="00AF04D8">
        <w:rPr>
          <w:sz w:val="18"/>
          <w:szCs w:val="18"/>
          <w:lang w:val="fr-FR"/>
        </w:rPr>
        <w:t> </w:t>
      </w:r>
      <w:r>
        <w:rPr>
          <w:sz w:val="18"/>
          <w:szCs w:val="18"/>
          <w:lang w:val="fr-FR"/>
        </w:rPr>
        <w:t>; 10,6</w:t>
      </w:r>
      <w:r w:rsidR="00AF04D8">
        <w:rPr>
          <w:sz w:val="18"/>
          <w:szCs w:val="18"/>
          <w:lang w:val="fr-FR"/>
        </w:rPr>
        <w:t> </w:t>
      </w:r>
      <w:r>
        <w:rPr>
          <w:sz w:val="18"/>
          <w:szCs w:val="18"/>
          <w:lang w:val="fr-FR"/>
        </w:rPr>
        <w:t>% ont immédiatement demandé des soins mais pas dans un établissement de santé ou auprès d</w:t>
      </w:r>
      <w:r w:rsidR="00AF04D8">
        <w:rPr>
          <w:sz w:val="18"/>
          <w:szCs w:val="18"/>
          <w:lang w:val="fr-FR"/>
        </w:rPr>
        <w:t>’</w:t>
      </w:r>
      <w:r>
        <w:rPr>
          <w:sz w:val="18"/>
          <w:szCs w:val="18"/>
          <w:lang w:val="fr-FR"/>
        </w:rPr>
        <w:t>un agent de santé communautaire</w:t>
      </w:r>
    </w:p>
  </w:footnote>
  <w:footnote w:id="4">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11</w:t>
      </w:r>
      <w:r w:rsidR="00AF04D8">
        <w:rPr>
          <w:sz w:val="18"/>
          <w:szCs w:val="18"/>
          <w:lang w:val="fr-FR"/>
        </w:rPr>
        <w:t> </w:t>
      </w:r>
      <w:r>
        <w:rPr>
          <w:sz w:val="18"/>
          <w:szCs w:val="18"/>
          <w:lang w:val="fr-FR"/>
        </w:rPr>
        <w:t xml:space="preserve">% ont pris des antipaludiques le jour même </w:t>
      </w:r>
      <w:proofErr w:type="spellStart"/>
      <w:r>
        <w:rPr>
          <w:sz w:val="18"/>
          <w:szCs w:val="18"/>
          <w:lang w:val="fr-FR"/>
        </w:rPr>
        <w:t>ou</w:t>
      </w:r>
      <w:proofErr w:type="spellEnd"/>
      <w:r>
        <w:rPr>
          <w:sz w:val="18"/>
          <w:szCs w:val="18"/>
          <w:lang w:val="fr-FR"/>
        </w:rPr>
        <w:t xml:space="preserve"> le lendemain de l</w:t>
      </w:r>
      <w:r w:rsidR="00AF04D8">
        <w:rPr>
          <w:sz w:val="18"/>
          <w:szCs w:val="18"/>
          <w:lang w:val="fr-FR"/>
        </w:rPr>
        <w:t>’</w:t>
      </w:r>
      <w:r>
        <w:rPr>
          <w:sz w:val="18"/>
          <w:szCs w:val="18"/>
          <w:lang w:val="fr-FR"/>
        </w:rPr>
        <w:t>apparition de la fièvre</w:t>
      </w:r>
    </w:p>
  </w:footnote>
  <w:footnote w:id="5">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Parmi ceux qui ont été testés positifs, ont reçu une forme de traitement</w:t>
      </w:r>
    </w:p>
  </w:footnote>
  <w:footnote w:id="6">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Ont reçu un test de dépistage du paludisme</w:t>
      </w:r>
    </w:p>
  </w:footnote>
  <w:footnote w:id="7">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64,1</w:t>
      </w:r>
      <w:r w:rsidR="00AF04D8">
        <w:rPr>
          <w:sz w:val="18"/>
          <w:szCs w:val="18"/>
          <w:lang w:val="fr-FR"/>
        </w:rPr>
        <w:t> %</w:t>
      </w:r>
      <w:r>
        <w:rPr>
          <w:sz w:val="18"/>
          <w:szCs w:val="18"/>
          <w:lang w:val="fr-FR"/>
        </w:rPr>
        <w:t xml:space="preserve"> </w:t>
      </w:r>
      <w:r w:rsidR="00AF04D8">
        <w:rPr>
          <w:sz w:val="18"/>
          <w:szCs w:val="18"/>
          <w:lang w:val="fr-FR"/>
        </w:rPr>
        <w:t>—</w:t>
      </w:r>
      <w:r>
        <w:rPr>
          <w:sz w:val="18"/>
          <w:szCs w:val="18"/>
          <w:lang w:val="fr-FR"/>
        </w:rPr>
        <w:t xml:space="preserve"> traitement de l</w:t>
      </w:r>
      <w:r w:rsidR="00AF04D8">
        <w:rPr>
          <w:sz w:val="18"/>
          <w:szCs w:val="18"/>
          <w:lang w:val="fr-FR"/>
        </w:rPr>
        <w:t>’</w:t>
      </w:r>
      <w:r>
        <w:rPr>
          <w:sz w:val="18"/>
          <w:szCs w:val="18"/>
          <w:lang w:val="fr-FR"/>
        </w:rPr>
        <w:t>ACT chez ceux qui ont reçu des antipaludiques</w:t>
      </w:r>
    </w:p>
  </w:footnote>
  <w:footnote w:id="8">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1,7</w:t>
      </w:r>
      <w:r w:rsidR="00AF04D8">
        <w:rPr>
          <w:sz w:val="18"/>
          <w:szCs w:val="18"/>
          <w:lang w:val="fr-FR"/>
        </w:rPr>
        <w:t> </w:t>
      </w:r>
      <w:r>
        <w:rPr>
          <w:sz w:val="18"/>
          <w:szCs w:val="18"/>
          <w:lang w:val="fr-FR"/>
        </w:rPr>
        <w:t>% ont pris de l</w:t>
      </w:r>
      <w:r w:rsidR="00AF04D8">
        <w:rPr>
          <w:sz w:val="18"/>
          <w:szCs w:val="18"/>
          <w:lang w:val="fr-FR"/>
        </w:rPr>
        <w:t>’</w:t>
      </w:r>
      <w:r>
        <w:rPr>
          <w:sz w:val="18"/>
          <w:szCs w:val="18"/>
          <w:lang w:val="fr-FR"/>
        </w:rPr>
        <w:t xml:space="preserve">ACT le jour même </w:t>
      </w:r>
      <w:proofErr w:type="spellStart"/>
      <w:r>
        <w:rPr>
          <w:sz w:val="18"/>
          <w:szCs w:val="18"/>
          <w:lang w:val="fr-FR"/>
        </w:rPr>
        <w:t>ou</w:t>
      </w:r>
      <w:proofErr w:type="spellEnd"/>
      <w:r>
        <w:rPr>
          <w:sz w:val="18"/>
          <w:szCs w:val="18"/>
          <w:lang w:val="fr-FR"/>
        </w:rPr>
        <w:t xml:space="preserve"> le lendemain après l</w:t>
      </w:r>
      <w:r w:rsidR="00AF04D8">
        <w:rPr>
          <w:sz w:val="18"/>
          <w:szCs w:val="18"/>
          <w:lang w:val="fr-FR"/>
        </w:rPr>
        <w:t>’</w:t>
      </w:r>
      <w:r>
        <w:rPr>
          <w:sz w:val="18"/>
          <w:szCs w:val="18"/>
          <w:lang w:val="fr-FR"/>
        </w:rPr>
        <w:t>apparition de la fièvre</w:t>
      </w:r>
    </w:p>
  </w:footnote>
  <w:footnote w:id="9">
    <w:p w:rsidR="00F5537A" w:rsidRPr="00AF04D8" w:rsidRDefault="00BA352B">
      <w:pPr>
        <w:pBdr>
          <w:top w:val="nil"/>
          <w:left w:val="nil"/>
          <w:bottom w:val="nil"/>
          <w:right w:val="nil"/>
          <w:between w:val="nil"/>
        </w:pBdr>
        <w:spacing w:after="0" w:line="240" w:lineRule="auto"/>
        <w:rPr>
          <w:sz w:val="20"/>
          <w:szCs w:val="20"/>
          <w:lang w:val="fr-FR"/>
        </w:rPr>
      </w:pPr>
      <w:r>
        <w:rPr>
          <w:vertAlign w:val="superscript"/>
        </w:rPr>
        <w:footnoteRef/>
      </w:r>
      <w:r>
        <w:rPr>
          <w:sz w:val="18"/>
          <w:szCs w:val="18"/>
          <w:lang w:val="fr-FR"/>
        </w:rPr>
        <w:t xml:space="preserve"> Parmi ceux qui ont été diagnostiqués porteurs du paludisme</w:t>
      </w:r>
    </w:p>
  </w:footnote>
  <w:footnote w:id="10">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Au moins un message télévisé</w:t>
      </w:r>
      <w:r w:rsidR="00AF04D8">
        <w:rPr>
          <w:sz w:val="18"/>
          <w:szCs w:val="18"/>
          <w:lang w:val="fr-FR"/>
        </w:rPr>
        <w:t> </w:t>
      </w:r>
      <w:r>
        <w:rPr>
          <w:sz w:val="18"/>
          <w:szCs w:val="18"/>
          <w:lang w:val="fr-FR"/>
        </w:rPr>
        <w:t>; 48</w:t>
      </w:r>
      <w:r w:rsidR="00AF04D8">
        <w:rPr>
          <w:sz w:val="18"/>
          <w:szCs w:val="18"/>
          <w:lang w:val="fr-FR"/>
        </w:rPr>
        <w:t> </w:t>
      </w:r>
      <w:r>
        <w:rPr>
          <w:sz w:val="18"/>
          <w:szCs w:val="18"/>
          <w:lang w:val="fr-FR"/>
        </w:rPr>
        <w:t>% à la radio</w:t>
      </w:r>
      <w:r w:rsidR="00AF04D8">
        <w:rPr>
          <w:sz w:val="18"/>
          <w:szCs w:val="18"/>
          <w:lang w:val="fr-FR"/>
        </w:rPr>
        <w:t> </w:t>
      </w:r>
      <w:r>
        <w:rPr>
          <w:sz w:val="18"/>
          <w:szCs w:val="18"/>
          <w:lang w:val="fr-FR"/>
        </w:rPr>
        <w:t>; 50</w:t>
      </w:r>
      <w:r w:rsidR="00AF04D8">
        <w:rPr>
          <w:sz w:val="18"/>
          <w:szCs w:val="18"/>
          <w:lang w:val="fr-FR"/>
        </w:rPr>
        <w:t> </w:t>
      </w:r>
      <w:r>
        <w:rPr>
          <w:sz w:val="18"/>
          <w:szCs w:val="18"/>
          <w:lang w:val="fr-FR"/>
        </w:rPr>
        <w:t>% sous forme d</w:t>
      </w:r>
      <w:r w:rsidR="00AF04D8">
        <w:rPr>
          <w:sz w:val="18"/>
          <w:szCs w:val="18"/>
          <w:lang w:val="fr-FR"/>
        </w:rPr>
        <w:t>’</w:t>
      </w:r>
      <w:r>
        <w:rPr>
          <w:sz w:val="18"/>
          <w:szCs w:val="18"/>
          <w:lang w:val="fr-FR"/>
        </w:rPr>
        <w:t>affiches</w:t>
      </w:r>
      <w:r w:rsidR="00AF04D8">
        <w:rPr>
          <w:sz w:val="18"/>
          <w:szCs w:val="18"/>
          <w:lang w:val="fr-FR"/>
        </w:rPr>
        <w:t> </w:t>
      </w:r>
      <w:r>
        <w:rPr>
          <w:sz w:val="18"/>
          <w:szCs w:val="18"/>
          <w:lang w:val="fr-FR"/>
        </w:rPr>
        <w:t>; 12,3</w:t>
      </w:r>
      <w:r w:rsidR="00AF04D8">
        <w:rPr>
          <w:sz w:val="18"/>
          <w:szCs w:val="18"/>
          <w:lang w:val="fr-FR"/>
        </w:rPr>
        <w:t> </w:t>
      </w:r>
      <w:r>
        <w:rPr>
          <w:sz w:val="18"/>
          <w:szCs w:val="18"/>
          <w:lang w:val="fr-FR"/>
        </w:rPr>
        <w:t>% lisent des articles sur le paludisme (chefs de famille, pas des femmes)</w:t>
      </w:r>
    </w:p>
  </w:footnote>
  <w:footnote w:id="11">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Les femmes exposées aux messages sur le paludisme, quelle qu</w:t>
      </w:r>
      <w:r w:rsidR="00AF04D8">
        <w:rPr>
          <w:sz w:val="18"/>
          <w:szCs w:val="18"/>
          <w:lang w:val="fr-FR"/>
        </w:rPr>
        <w:t>’</w:t>
      </w:r>
      <w:r>
        <w:rPr>
          <w:sz w:val="18"/>
          <w:szCs w:val="18"/>
          <w:lang w:val="fr-FR"/>
        </w:rPr>
        <w:t>en soit la source. 65,8</w:t>
      </w:r>
      <w:r w:rsidR="00AF04D8">
        <w:rPr>
          <w:sz w:val="18"/>
          <w:szCs w:val="18"/>
          <w:lang w:val="fr-FR"/>
        </w:rPr>
        <w:t> </w:t>
      </w:r>
      <w:r>
        <w:rPr>
          <w:sz w:val="18"/>
          <w:szCs w:val="18"/>
          <w:lang w:val="fr-FR"/>
        </w:rPr>
        <w:t>% de toutes les personnes interrogées (hommes et femmes) ont cité la télévision comme source</w:t>
      </w:r>
      <w:r w:rsidR="00AF04D8">
        <w:rPr>
          <w:sz w:val="18"/>
          <w:szCs w:val="18"/>
          <w:lang w:val="fr-FR"/>
        </w:rPr>
        <w:t> </w:t>
      </w:r>
      <w:r>
        <w:rPr>
          <w:sz w:val="18"/>
          <w:szCs w:val="18"/>
          <w:lang w:val="fr-FR"/>
        </w:rPr>
        <w:t>; 21,7</w:t>
      </w:r>
      <w:r w:rsidR="00AF04D8">
        <w:rPr>
          <w:sz w:val="18"/>
          <w:szCs w:val="18"/>
          <w:lang w:val="fr-FR"/>
        </w:rPr>
        <w:t> </w:t>
      </w:r>
      <w:r>
        <w:rPr>
          <w:sz w:val="18"/>
          <w:szCs w:val="18"/>
          <w:lang w:val="fr-FR"/>
        </w:rPr>
        <w:t>% la radio</w:t>
      </w:r>
      <w:r w:rsidR="00AF04D8">
        <w:rPr>
          <w:sz w:val="18"/>
          <w:szCs w:val="18"/>
          <w:lang w:val="fr-FR"/>
        </w:rPr>
        <w:t> </w:t>
      </w:r>
      <w:r>
        <w:rPr>
          <w:sz w:val="18"/>
          <w:szCs w:val="18"/>
          <w:lang w:val="fr-FR"/>
        </w:rPr>
        <w:t>; 5,9</w:t>
      </w:r>
      <w:r w:rsidR="00AF04D8">
        <w:rPr>
          <w:sz w:val="18"/>
          <w:szCs w:val="18"/>
          <w:lang w:val="fr-FR"/>
        </w:rPr>
        <w:t> </w:t>
      </w:r>
      <w:r>
        <w:rPr>
          <w:sz w:val="18"/>
          <w:szCs w:val="18"/>
          <w:lang w:val="fr-FR"/>
        </w:rPr>
        <w:t>% les panneaux et affiches</w:t>
      </w:r>
      <w:r w:rsidR="00AF04D8">
        <w:rPr>
          <w:sz w:val="18"/>
          <w:szCs w:val="18"/>
          <w:lang w:val="fr-FR"/>
        </w:rPr>
        <w:t> </w:t>
      </w:r>
      <w:r>
        <w:rPr>
          <w:sz w:val="18"/>
          <w:szCs w:val="18"/>
          <w:lang w:val="fr-FR"/>
        </w:rPr>
        <w:t>; 4,6</w:t>
      </w:r>
      <w:r w:rsidR="00AF04D8">
        <w:rPr>
          <w:sz w:val="18"/>
          <w:szCs w:val="18"/>
          <w:lang w:val="fr-FR"/>
        </w:rPr>
        <w:t> </w:t>
      </w:r>
      <w:r>
        <w:rPr>
          <w:sz w:val="18"/>
          <w:szCs w:val="18"/>
          <w:lang w:val="fr-FR"/>
        </w:rPr>
        <w:t>% un agent de santé</w:t>
      </w:r>
      <w:r w:rsidR="00AF04D8">
        <w:rPr>
          <w:sz w:val="18"/>
          <w:szCs w:val="18"/>
          <w:lang w:val="fr-FR"/>
        </w:rPr>
        <w:t> </w:t>
      </w:r>
      <w:r>
        <w:rPr>
          <w:sz w:val="18"/>
          <w:szCs w:val="18"/>
          <w:lang w:val="fr-FR"/>
        </w:rPr>
        <w:t>; 6,3</w:t>
      </w:r>
      <w:r w:rsidR="00AF04D8">
        <w:rPr>
          <w:sz w:val="18"/>
          <w:szCs w:val="18"/>
          <w:lang w:val="fr-FR"/>
        </w:rPr>
        <w:t> </w:t>
      </w:r>
      <w:r>
        <w:rPr>
          <w:sz w:val="18"/>
          <w:szCs w:val="18"/>
          <w:lang w:val="fr-FR"/>
        </w:rPr>
        <w:t>% un ami ou un parent</w:t>
      </w:r>
    </w:p>
  </w:footnote>
  <w:footnote w:id="12">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Des chefs de famille</w:t>
      </w:r>
      <w:r w:rsidR="00AF04D8">
        <w:rPr>
          <w:sz w:val="18"/>
          <w:szCs w:val="18"/>
          <w:lang w:val="fr-FR"/>
        </w:rPr>
        <w:t> </w:t>
      </w:r>
      <w:r>
        <w:rPr>
          <w:sz w:val="18"/>
          <w:szCs w:val="18"/>
          <w:lang w:val="fr-FR"/>
        </w:rPr>
        <w:t>; 88,5</w:t>
      </w:r>
      <w:r w:rsidR="00AF04D8">
        <w:rPr>
          <w:sz w:val="18"/>
          <w:szCs w:val="18"/>
          <w:lang w:val="fr-FR"/>
        </w:rPr>
        <w:t> </w:t>
      </w:r>
      <w:r>
        <w:rPr>
          <w:sz w:val="18"/>
          <w:szCs w:val="18"/>
          <w:lang w:val="fr-FR"/>
        </w:rPr>
        <w:t>% ont mentionné la fièvre comme signe de paludisme</w:t>
      </w:r>
    </w:p>
  </w:footnote>
  <w:footnote w:id="13">
    <w:p w:rsidR="00F5537A" w:rsidRPr="00AF04D8" w:rsidRDefault="00BA352B">
      <w:pPr>
        <w:pBdr>
          <w:top w:val="nil"/>
          <w:left w:val="nil"/>
          <w:bottom w:val="nil"/>
          <w:right w:val="nil"/>
          <w:between w:val="nil"/>
        </w:pBdr>
        <w:spacing w:after="0" w:line="240" w:lineRule="auto"/>
        <w:rPr>
          <w:sz w:val="20"/>
          <w:szCs w:val="20"/>
          <w:lang w:val="fr-FR"/>
        </w:rPr>
      </w:pPr>
      <w:r>
        <w:rPr>
          <w:vertAlign w:val="superscript"/>
        </w:rPr>
        <w:footnoteRef/>
      </w:r>
      <w:r>
        <w:rPr>
          <w:sz w:val="18"/>
          <w:szCs w:val="18"/>
          <w:lang w:val="fr-FR"/>
        </w:rPr>
        <w:t xml:space="preserve"> Citent la fièvre comme symptôme du paludisme</w:t>
      </w:r>
    </w:p>
  </w:footnote>
  <w:footnote w:id="14">
    <w:p w:rsidR="00F5537A" w:rsidRPr="00AF04D8" w:rsidRDefault="00BA352B">
      <w:pPr>
        <w:pBdr>
          <w:top w:val="nil"/>
          <w:left w:val="nil"/>
          <w:bottom w:val="nil"/>
          <w:right w:val="nil"/>
          <w:between w:val="nil"/>
        </w:pBdr>
        <w:spacing w:after="0" w:line="240" w:lineRule="auto"/>
        <w:rPr>
          <w:sz w:val="20"/>
          <w:szCs w:val="20"/>
          <w:lang w:val="fr-FR"/>
        </w:rPr>
      </w:pPr>
      <w:r>
        <w:rPr>
          <w:vertAlign w:val="superscript"/>
        </w:rPr>
        <w:footnoteRef/>
      </w:r>
      <w:r>
        <w:rPr>
          <w:sz w:val="18"/>
          <w:szCs w:val="18"/>
          <w:lang w:val="fr-FR"/>
        </w:rPr>
        <w:t xml:space="preserve"> 93,5</w:t>
      </w:r>
      <w:r w:rsidR="00AF04D8">
        <w:rPr>
          <w:sz w:val="18"/>
          <w:szCs w:val="18"/>
          <w:lang w:val="fr-FR"/>
        </w:rPr>
        <w:t> </w:t>
      </w:r>
      <w:r>
        <w:rPr>
          <w:sz w:val="18"/>
          <w:szCs w:val="18"/>
          <w:lang w:val="fr-FR"/>
        </w:rPr>
        <w:t>% de femmes</w:t>
      </w:r>
      <w:r w:rsidR="00AF04D8">
        <w:rPr>
          <w:sz w:val="18"/>
          <w:szCs w:val="18"/>
          <w:lang w:val="fr-FR"/>
        </w:rPr>
        <w:t> </w:t>
      </w:r>
      <w:r>
        <w:rPr>
          <w:sz w:val="18"/>
          <w:szCs w:val="18"/>
          <w:lang w:val="fr-FR"/>
        </w:rPr>
        <w:t>; 93,4</w:t>
      </w:r>
      <w:r w:rsidR="00AF04D8">
        <w:rPr>
          <w:sz w:val="18"/>
          <w:szCs w:val="18"/>
          <w:lang w:val="fr-FR"/>
        </w:rPr>
        <w:t> </w:t>
      </w:r>
      <w:r>
        <w:rPr>
          <w:sz w:val="18"/>
          <w:szCs w:val="18"/>
          <w:lang w:val="fr-FR"/>
        </w:rPr>
        <w:t>% d</w:t>
      </w:r>
      <w:r w:rsidR="00AF04D8">
        <w:rPr>
          <w:sz w:val="18"/>
          <w:szCs w:val="18"/>
          <w:lang w:val="fr-FR"/>
        </w:rPr>
        <w:t>’</w:t>
      </w:r>
      <w:r>
        <w:rPr>
          <w:sz w:val="18"/>
          <w:szCs w:val="18"/>
          <w:lang w:val="fr-FR"/>
        </w:rPr>
        <w:t>hommes</w:t>
      </w:r>
    </w:p>
  </w:footnote>
  <w:footnote w:id="15">
    <w:p w:rsidR="00F5537A" w:rsidRPr="00AF04D8" w:rsidRDefault="00BA352B">
      <w:pPr>
        <w:pBdr>
          <w:top w:val="nil"/>
          <w:left w:val="nil"/>
          <w:bottom w:val="nil"/>
          <w:right w:val="nil"/>
          <w:between w:val="nil"/>
        </w:pBdr>
        <w:spacing w:after="0" w:line="240" w:lineRule="auto"/>
        <w:rPr>
          <w:sz w:val="18"/>
          <w:szCs w:val="18"/>
          <w:lang w:val="fr-FR"/>
        </w:rPr>
      </w:pPr>
      <w:r>
        <w:rPr>
          <w:vertAlign w:val="superscript"/>
        </w:rPr>
        <w:footnoteRef/>
      </w:r>
      <w:r>
        <w:rPr>
          <w:sz w:val="18"/>
          <w:szCs w:val="18"/>
          <w:lang w:val="fr-FR"/>
        </w:rPr>
        <w:t xml:space="preserve"> 58,5</w:t>
      </w:r>
      <w:r w:rsidR="00AF04D8">
        <w:rPr>
          <w:sz w:val="18"/>
          <w:szCs w:val="18"/>
          <w:lang w:val="fr-FR"/>
        </w:rPr>
        <w:t> </w:t>
      </w:r>
      <w:r>
        <w:rPr>
          <w:sz w:val="18"/>
          <w:szCs w:val="18"/>
          <w:lang w:val="fr-FR"/>
        </w:rPr>
        <w:t>% de femmes</w:t>
      </w:r>
      <w:r w:rsidR="00AF04D8">
        <w:rPr>
          <w:sz w:val="18"/>
          <w:szCs w:val="18"/>
          <w:lang w:val="fr-FR"/>
        </w:rPr>
        <w:t> </w:t>
      </w:r>
      <w:r>
        <w:rPr>
          <w:sz w:val="18"/>
          <w:szCs w:val="18"/>
          <w:lang w:val="fr-FR"/>
        </w:rPr>
        <w:t>; 58,2</w:t>
      </w:r>
      <w:r w:rsidR="00AF04D8">
        <w:rPr>
          <w:sz w:val="18"/>
          <w:szCs w:val="18"/>
          <w:lang w:val="fr-FR"/>
        </w:rPr>
        <w:t> </w:t>
      </w:r>
      <w:r>
        <w:rPr>
          <w:sz w:val="18"/>
          <w:szCs w:val="18"/>
          <w:lang w:val="fr-FR"/>
        </w:rPr>
        <w:t>% d</w:t>
      </w:r>
      <w:r w:rsidR="00AF04D8">
        <w:rPr>
          <w:sz w:val="18"/>
          <w:szCs w:val="18"/>
          <w:lang w:val="fr-FR"/>
        </w:rPr>
        <w:t>’</w:t>
      </w:r>
      <w:r>
        <w:rPr>
          <w:sz w:val="18"/>
          <w:szCs w:val="18"/>
          <w:lang w:val="fr-FR"/>
        </w:rPr>
        <w:t>hommes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D8" w:rsidRDefault="00AF04D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D8" w:rsidRDefault="00AF04D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D8" w:rsidRDefault="00AF0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7A"/>
    <w:rsid w:val="00AF04D8"/>
    <w:rsid w:val="00B26A48"/>
    <w:rsid w:val="00BA352B"/>
    <w:rsid w:val="00E54F7F"/>
    <w:rsid w:val="00F55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FF31"/>
  <w15:docId w15:val="{78DE517A-B8BD-40E5-919E-3D3ADA1E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545454"/>
        <w:sz w:val="22"/>
        <w:szCs w:val="22"/>
        <w:highlight w:val="white"/>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1F3864"/>
      <w:sz w:val="32"/>
      <w:szCs w:val="32"/>
    </w:rPr>
  </w:style>
  <w:style w:type="paragraph" w:styleId="Titre2">
    <w:name w:val="heading 2"/>
    <w:basedOn w:val="Normal"/>
    <w:next w:val="Normal"/>
    <w:pPr>
      <w:keepNext/>
      <w:keepLines/>
      <w:spacing w:before="40" w:after="0"/>
      <w:outlineLvl w:val="1"/>
    </w:pPr>
    <w:rPr>
      <w:color w:val="1F3864"/>
      <w:sz w:val="26"/>
      <w:szCs w:val="26"/>
    </w:rPr>
  </w:style>
  <w:style w:type="paragraph" w:styleId="Titre3">
    <w:name w:val="heading 3"/>
    <w:basedOn w:val="Normal"/>
    <w:next w:val="Normal"/>
    <w:pPr>
      <w:keepNext/>
      <w:keepLines/>
      <w:spacing w:before="40" w:after="0"/>
      <w:outlineLvl w:val="2"/>
    </w:pPr>
    <w:rPr>
      <w:color w:val="1F3864"/>
      <w:sz w:val="24"/>
      <w:szCs w:val="24"/>
    </w:rPr>
  </w:style>
  <w:style w:type="paragraph" w:styleId="Titre4">
    <w:name w:val="heading 4"/>
    <w:basedOn w:val="Normal"/>
    <w:next w:val="Normal"/>
    <w:pPr>
      <w:keepNext/>
      <w:keepLines/>
      <w:spacing w:before="40" w:after="0"/>
      <w:outlineLvl w:val="3"/>
    </w:pPr>
    <w:rPr>
      <w:i/>
      <w:color w:val="1F386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auNormal"/>
    <w:pPr>
      <w:spacing w:after="0" w:line="240" w:lineRule="auto"/>
    </w:pPr>
    <w:tblPr>
      <w:tblStyleRowBandSize w:val="1"/>
      <w:tblStyleColBandSize w:val="1"/>
    </w:tblPr>
  </w:style>
  <w:style w:type="table" w:customStyle="1" w:styleId="Table2">
    <w:name w:val="Table2"/>
    <w:basedOn w:val="TableauNormal"/>
    <w:pPr>
      <w:spacing w:after="0" w:line="240" w:lineRule="auto"/>
    </w:pPr>
    <w:tblPr>
      <w:tblStyleRowBandSize w:val="1"/>
      <w:tblStyleColBandSize w:val="1"/>
    </w:tblPr>
  </w:style>
  <w:style w:type="table" w:customStyle="1" w:styleId="Table3">
    <w:name w:val="Table3"/>
    <w:basedOn w:val="TableauNormal"/>
    <w:pPr>
      <w:spacing w:after="0" w:line="240" w:lineRule="auto"/>
    </w:pPr>
    <w:tblPr>
      <w:tblStyleRowBandSize w:val="1"/>
      <w:tblStyleColBandSize w:val="1"/>
    </w:tblPr>
  </w:style>
  <w:style w:type="paragraph" w:styleId="En-tte">
    <w:name w:val="header"/>
    <w:basedOn w:val="Normal"/>
    <w:link w:val="En-tteCar"/>
    <w:uiPriority w:val="99"/>
    <w:unhideWhenUsed/>
    <w:rsid w:val="00AF04D8"/>
    <w:pPr>
      <w:tabs>
        <w:tab w:val="center" w:pos="4536"/>
        <w:tab w:val="right" w:pos="9072"/>
      </w:tabs>
      <w:spacing w:after="0" w:line="240" w:lineRule="auto"/>
    </w:pPr>
  </w:style>
  <w:style w:type="character" w:customStyle="1" w:styleId="En-tteCar">
    <w:name w:val="En-tête Car"/>
    <w:basedOn w:val="Policepardfaut"/>
    <w:link w:val="En-tte"/>
    <w:uiPriority w:val="99"/>
    <w:rsid w:val="00AF04D8"/>
  </w:style>
  <w:style w:type="paragraph" w:styleId="Pieddepage">
    <w:name w:val="footer"/>
    <w:basedOn w:val="Normal"/>
    <w:link w:val="PieddepageCar"/>
    <w:uiPriority w:val="99"/>
    <w:unhideWhenUsed/>
    <w:rsid w:val="00AF0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dmalaria.org/sites/default/files/National-Malaria-SBC-Strategy-Template-2020-EN.doc"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endmalaria.org/sites/default/files/National-Malaria-SBC-Strategy-Guidance-2020-EN_0.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rive.google.com/drive/folders/1paJiNjmiHdVtfI25BZSCfpk1HV61ygcL?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1121</Words>
  <Characters>6168</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2020-11-07T21:41:00Z</dcterms:created>
  <dcterms:modified xsi:type="dcterms:W3CDTF">2020-11-07T21:49:00Z</dcterms:modified>
</cp:coreProperties>
</file>