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19" w:rsidRPr="00B43090" w:rsidRDefault="00D6697A">
      <w:pPr>
        <w:pStyle w:val="Title"/>
        <w:rPr>
          <w:color w:val="000000"/>
          <w:lang w:val="pt-PT"/>
        </w:rPr>
      </w:pPr>
      <w:bookmarkStart w:id="0" w:name="_lh2r57mwg48n" w:colFirst="0" w:colLast="0"/>
      <w:bookmarkStart w:id="1" w:name="_GoBack"/>
      <w:bookmarkEnd w:id="0"/>
      <w:bookmarkEnd w:id="1"/>
      <w:r w:rsidRPr="00B43090">
        <w:rPr>
          <w:color w:val="000000"/>
          <w:lang w:val="pt-PT"/>
        </w:rPr>
        <w:t>Resumo dos dados de Mudança Social e Comportamental</w:t>
      </w:r>
    </w:p>
    <w:p w:rsidR="00002819" w:rsidRPr="00B43090" w:rsidRDefault="00002819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002819" w:rsidRPr="00B43090" w:rsidRDefault="00D6697A">
      <w:pPr>
        <w:pStyle w:val="Title"/>
        <w:rPr>
          <w:lang w:val="pt-PT"/>
        </w:rPr>
        <w:sectPr w:rsidR="00002819" w:rsidRPr="00B43090">
          <w:footerReference w:type="default" r:id="rId7"/>
          <w:footerReference w:type="first" r:id="rId8"/>
          <w:pgSz w:w="12240" w:h="15840"/>
          <w:pgMar w:top="720" w:right="720" w:bottom="720" w:left="720" w:header="720" w:footer="720" w:gutter="0"/>
          <w:pgNumType w:start="1"/>
          <w:cols w:space="708"/>
        </w:sectPr>
      </w:pPr>
      <w:bookmarkStart w:id="2" w:name="_82y83o5cjsgq" w:colFirst="0" w:colLast="0"/>
      <w:bookmarkEnd w:id="2"/>
      <w:r w:rsidRPr="00B43090">
        <w:rPr>
          <w:color w:val="000000"/>
          <w:sz w:val="54"/>
          <w:szCs w:val="54"/>
          <w:lang w:val="pt-PT"/>
        </w:rPr>
        <w:t>Gestão de casos de malária (exemplo)</w:t>
      </w:r>
      <w:r w:rsidRPr="00B43090">
        <w:rPr>
          <w:color w:val="000000"/>
          <w:sz w:val="54"/>
          <w:szCs w:val="54"/>
          <w:lang w:val="pt-PT"/>
        </w:rPr>
        <w:br w:type="page"/>
      </w:r>
    </w:p>
    <w:p w:rsidR="00002819" w:rsidRPr="00B43090" w:rsidRDefault="00D6697A">
      <w:pPr>
        <w:rPr>
          <w:b/>
          <w:lang w:val="pt-PT"/>
        </w:rPr>
      </w:pPr>
      <w:r w:rsidRPr="00B43090">
        <w:rPr>
          <w:b/>
          <w:lang w:val="pt-PT"/>
        </w:rPr>
        <w:lastRenderedPageBreak/>
        <w:t>Como utilizar este resumo de dados</w:t>
      </w:r>
    </w:p>
    <w:p w:rsidR="00002819" w:rsidRPr="00B43090" w:rsidRDefault="00D6697A">
      <w:pPr>
        <w:rPr>
          <w:lang w:val="pt-PT"/>
        </w:rPr>
      </w:pPr>
      <w:r w:rsidRPr="00B43090">
        <w:rPr>
          <w:lang w:val="pt-PT"/>
        </w:rPr>
        <w:t>Este resumo de dados de gestão de casos de malária faz parte do Conjunto de Ferramentas de Desenvolvimento Estratégico da Parceria Fazer Recuar a Malária para Acabar com a Malária. Es</w:t>
      </w:r>
      <w:r w:rsidRPr="00B43090">
        <w:rPr>
          <w:lang w:val="pt-PT"/>
        </w:rPr>
        <w:t xml:space="preserve">te resumo de dados deve ser utilizado para informar o desenvolvimento estratégico da Mudança Social e Comportamental da malária de um país. Especificamente, estes dados devem ser utilizados para informar a secção prospetiva da estratégia (consultar o </w:t>
      </w:r>
      <w:hyperlink r:id="rId9" w:history="1">
        <w:r w:rsidRPr="00B43090">
          <w:rPr>
            <w:color w:val="1155CC"/>
            <w:u w:val="single"/>
            <w:lang w:val="pt-PT"/>
          </w:rPr>
          <w:t>Guia</w:t>
        </w:r>
      </w:hyperlink>
      <w:r w:rsidRPr="00B43090">
        <w:rPr>
          <w:lang w:val="pt-PT"/>
        </w:rPr>
        <w:t xml:space="preserve"> e o </w:t>
      </w:r>
      <w:hyperlink r:id="rId10" w:history="1">
        <w:r w:rsidRPr="00B43090">
          <w:rPr>
            <w:color w:val="1155CC"/>
            <w:u w:val="single"/>
            <w:lang w:val="pt-PT"/>
          </w:rPr>
          <w:t>Modelo de</w:t>
        </w:r>
      </w:hyperlink>
      <w:r w:rsidRPr="00B43090">
        <w:rPr>
          <w:lang w:val="pt-PT"/>
        </w:rPr>
        <w:t xml:space="preserve"> Desenvolvimento Estr</w:t>
      </w:r>
      <w:r w:rsidRPr="00B43090">
        <w:rPr>
          <w:lang w:val="pt-PT"/>
        </w:rPr>
        <w:t xml:space="preserve">atégico de Mudança Social e Comportamental Fazer Recuar a Malária) e os planos específicos de intervenção (que incluem análises da situação, análises comportamentais, análises do público e abordagens de comunicação estratégica). Os dados disponíveis devem </w:t>
      </w:r>
      <w:r w:rsidRPr="00B43090">
        <w:rPr>
          <w:lang w:val="pt-PT"/>
        </w:rPr>
        <w:t xml:space="preserve">ser recolhidos e sintetizados aqui antes do seminário de desenvolvimento estratégico dos intervenientes e muito antes do posterior retiro de escrita de desenvolvimento estratégico. Isto assegurará que todos os parceiros estejam familiarizados com os dados </w:t>
      </w:r>
      <w:r w:rsidRPr="00B43090">
        <w:rPr>
          <w:lang w:val="pt-PT"/>
        </w:rPr>
        <w:t xml:space="preserve">disponíveis, o que por sua vez assegurará que a estratégia da Mudança Social e Comportamental da malária resultante seja baseada em provas. </w:t>
      </w:r>
    </w:p>
    <w:p w:rsidR="00002819" w:rsidRPr="00B43090" w:rsidRDefault="00D6697A">
      <w:pPr>
        <w:rPr>
          <w:b/>
          <w:lang w:val="pt-PT"/>
        </w:rPr>
      </w:pPr>
      <w:r w:rsidRPr="00B43090">
        <w:rPr>
          <w:i/>
          <w:sz w:val="20"/>
          <w:szCs w:val="20"/>
          <w:lang w:val="pt-PT"/>
        </w:rPr>
        <w:t>Nota: A seguinte tabela de indicadores não é uma lista completa. Os países devem remover os indicadores que não est</w:t>
      </w:r>
      <w:r w:rsidRPr="00B43090">
        <w:rPr>
          <w:i/>
          <w:sz w:val="20"/>
          <w:szCs w:val="20"/>
          <w:lang w:val="pt-PT"/>
        </w:rPr>
        <w:t>ão disponíveis/relevantes e acrescentar aqueles que possam estar disponíveis/relevantes conforme necessário.</w:t>
      </w:r>
    </w:p>
    <w:p w:rsidR="00002819" w:rsidRPr="00B43090" w:rsidRDefault="000028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hanging="360"/>
        <w:rPr>
          <w:b/>
          <w:color w:val="000000"/>
          <w:lang w:val="pt-PT"/>
        </w:rPr>
      </w:pPr>
    </w:p>
    <w:tbl>
      <w:tblPr>
        <w:tblStyle w:val="Table1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9"/>
        <w:gridCol w:w="1158"/>
        <w:gridCol w:w="1158"/>
        <w:gridCol w:w="1216"/>
        <w:gridCol w:w="1158"/>
      </w:tblGrid>
      <w:tr w:rsidR="00002819" w:rsidRPr="00B43090">
        <w:tc>
          <w:tcPr>
            <w:tcW w:w="6976" w:type="dxa"/>
            <w:gridSpan w:val="3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  <w:r w:rsidRPr="00B43090">
              <w:rPr>
                <w:b/>
                <w:smallCaps/>
                <w:color w:val="FFFFFF"/>
                <w:lang w:val="pt-PT"/>
              </w:rPr>
              <w:t>resumo de mudança social e comportamental: comportamentos de gestão de casos de malária na Costa do Marfim</w:t>
            </w:r>
          </w:p>
        </w:tc>
        <w:tc>
          <w:tcPr>
            <w:tcW w:w="1216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  <w:tc>
          <w:tcPr>
            <w:tcW w:w="1158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</w:tr>
      <w:tr w:rsidR="00002819" w:rsidRPr="00B43090">
        <w:tc>
          <w:tcPr>
            <w:tcW w:w="4660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indicador</w:t>
            </w:r>
          </w:p>
        </w:tc>
        <w:tc>
          <w:tcPr>
            <w:tcW w:w="1158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ESTUDOS AGRUPADOS DE </w:t>
            </w:r>
            <w:r w:rsidRPr="00B43090">
              <w:rPr>
                <w:smallCaps/>
                <w:lang w:val="pt-PT"/>
              </w:rPr>
              <w:t>INDICADORES MÚLTIPLOS</w:t>
            </w:r>
          </w:p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(2016) </w:t>
            </w:r>
          </w:p>
        </w:tc>
        <w:tc>
          <w:tcPr>
            <w:tcW w:w="1158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INQUÉRITOS DEMOGRÁFICOS E DE SAÚDE </w:t>
            </w:r>
          </w:p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(11-12)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CONHECIMENTOS, ATITUDES E PRÁTICAS</w:t>
            </w:r>
          </w:p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(2017)  </w:t>
            </w:r>
          </w:p>
        </w:tc>
        <w:tc>
          <w:tcPr>
            <w:tcW w:w="1158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ESTUDOS SANGUÍNEOS EM MASSA </w:t>
            </w:r>
          </w:p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(2018)</w:t>
            </w:r>
          </w:p>
        </w:tc>
      </w:tr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Comportamentos (análise da situação)</w:t>
            </w: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Entre as crianças menores de cinco anos com febre, proporção </w:t>
            </w:r>
            <w:r w:rsidRPr="00B43090">
              <w:rPr>
                <w:lang w:val="pt-PT"/>
              </w:rPr>
              <w:t>que procuraram tratamento numa instalação/prestador de serviços no mesmo dia ou no dia seguinte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45,2%</w:t>
            </w:r>
            <w:r w:rsidRPr="00B43090">
              <w:rPr>
                <w:vertAlign w:val="superscript"/>
                <w:lang w:val="pt-PT"/>
              </w:rPr>
              <w:footnoteReference w:id="1"/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42,8%</w:t>
            </w:r>
            <w:r w:rsidRPr="00B43090">
              <w:rPr>
                <w:vertAlign w:val="superscript"/>
                <w:lang w:val="pt-PT"/>
              </w:rPr>
              <w:footnoteReference w:id="2"/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73,2%</w:t>
            </w:r>
            <w:r w:rsidRPr="00B43090">
              <w:rPr>
                <w:vertAlign w:val="superscript"/>
                <w:lang w:val="pt-PT"/>
              </w:rPr>
              <w:footnoteReference w:id="3"/>
            </w: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crianças com menos de cinco anos </w:t>
            </w:r>
            <w:r w:rsidRPr="00B43090">
              <w:rPr>
                <w:lang w:val="pt-PT"/>
              </w:rPr>
              <w:lastRenderedPageBreak/>
              <w:t xml:space="preserve">com febre nas últimas duas semanas que receberam qualquer antimalárico 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lastRenderedPageBreak/>
              <w:t>18,1%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17,5%</w:t>
            </w:r>
            <w:r w:rsidRPr="00B43090">
              <w:rPr>
                <w:vertAlign w:val="superscript"/>
                <w:lang w:val="pt-PT"/>
              </w:rPr>
              <w:footnoteReference w:id="4"/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98,8%</w:t>
            </w:r>
            <w:r w:rsidRPr="00B43090">
              <w:rPr>
                <w:vertAlign w:val="superscript"/>
                <w:lang w:val="pt-PT"/>
              </w:rPr>
              <w:footnoteReference w:id="5"/>
            </w: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lastRenderedPageBreak/>
              <w:t>Proporção de crianças menores de 5 anos com febre (nas últimas duas semanas) que tiveram sangue retirado de um dedo ou calcanhar para testes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26,3%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11,0%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45,9%</w:t>
            </w:r>
            <w:r w:rsidRPr="00B43090">
              <w:rPr>
                <w:vertAlign w:val="superscript"/>
                <w:lang w:val="pt-PT"/>
              </w:rPr>
              <w:footnoteReference w:id="6"/>
            </w: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crianças com menos de 5 anos com febre (nas últimas duas semanas) que foram </w:t>
            </w:r>
            <w:r w:rsidRPr="00B43090">
              <w:rPr>
                <w:lang w:val="pt-PT"/>
              </w:rPr>
              <w:t>tratadas com uma Terapia Combinada à Base de Artemisinina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11,6%</w:t>
            </w:r>
            <w:r w:rsidRPr="00B43090">
              <w:rPr>
                <w:vertAlign w:val="superscript"/>
                <w:lang w:val="pt-PT"/>
              </w:rPr>
              <w:footnoteReference w:id="7"/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3%</w:t>
            </w:r>
            <w:r w:rsidRPr="00B43090">
              <w:rPr>
                <w:vertAlign w:val="superscript"/>
                <w:lang w:val="pt-PT"/>
              </w:rPr>
              <w:footnoteReference w:id="8"/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42,5%</w:t>
            </w:r>
            <w:r w:rsidRPr="00B43090">
              <w:rPr>
                <w:vertAlign w:val="superscript"/>
                <w:lang w:val="pt-PT"/>
              </w:rPr>
              <w:footnoteReference w:id="9"/>
            </w:r>
          </w:p>
        </w:tc>
      </w:tr>
    </w:tbl>
    <w:p w:rsidR="00002819" w:rsidRPr="00B43090" w:rsidRDefault="00D6697A">
      <w:pPr>
        <w:rPr>
          <w:lang w:val="pt-PT"/>
        </w:rPr>
      </w:pPr>
      <w:r w:rsidRPr="00B43090">
        <w:rPr>
          <w:lang w:val="pt-PT"/>
        </w:rPr>
        <w:br w:type="page"/>
      </w:r>
    </w:p>
    <w:tbl>
      <w:tblPr>
        <w:tblStyle w:val="Table2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9"/>
        <w:gridCol w:w="1158"/>
        <w:gridCol w:w="1158"/>
        <w:gridCol w:w="1216"/>
        <w:gridCol w:w="1158"/>
      </w:tblGrid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lastRenderedPageBreak/>
              <w:t>Determinantes de comportamento (análise comportamental)</w:t>
            </w:r>
          </w:p>
        </w:tc>
      </w:tr>
      <w:tr w:rsidR="00002819" w:rsidRPr="00B43090">
        <w:tc>
          <w:tcPr>
            <w:tcW w:w="4660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002819" w:rsidRPr="00B43090" w:rsidRDefault="00D6697A">
            <w:pPr>
              <w:spacing w:before="40" w:after="40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indicador</w:t>
            </w:r>
          </w:p>
        </w:tc>
        <w:tc>
          <w:tcPr>
            <w:tcW w:w="1158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ESTUDOS AGRUPADOS DE INDICADORES MÚLTIPLOS</w:t>
            </w:r>
          </w:p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(2016) </w:t>
            </w:r>
          </w:p>
        </w:tc>
        <w:tc>
          <w:tcPr>
            <w:tcW w:w="1158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INQUÉRITOS DEMOGRÁFICOS E DE SAÚDE </w:t>
            </w:r>
          </w:p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(11-12)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CONHECIMENTOS,</w:t>
            </w:r>
            <w:r w:rsidRPr="00B43090">
              <w:rPr>
                <w:smallCaps/>
                <w:lang w:val="pt-PT"/>
              </w:rPr>
              <w:t xml:space="preserve"> ATITUDES E PRÁTICAS</w:t>
            </w:r>
          </w:p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(2017)  </w:t>
            </w:r>
          </w:p>
        </w:tc>
        <w:tc>
          <w:tcPr>
            <w:tcW w:w="1158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 xml:space="preserve">ESTUDOS SANGUÍNEOS EM MASSA </w:t>
            </w:r>
          </w:p>
          <w:p w:rsidR="00002819" w:rsidRPr="00B43090" w:rsidRDefault="00D6697A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B43090">
              <w:rPr>
                <w:smallCaps/>
                <w:lang w:val="pt-PT"/>
              </w:rPr>
              <w:t>(2018)</w:t>
            </w: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Acesso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inquiridos que vivem a mais de 5 quilómetros da unidade de saúde mais próxima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3%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dos inquiridos que concordam que os Profissionais de Saúde </w:t>
            </w:r>
            <w:r w:rsidRPr="00B43090">
              <w:rPr>
                <w:lang w:val="pt-PT"/>
              </w:rPr>
              <w:t>Comunitária na sua comunidade sabem como tratar a malária em crianças.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81,7%</w:t>
            </w:r>
          </w:p>
        </w:tc>
      </w:tr>
      <w:tr w:rsidR="00002819" w:rsidRPr="00B43090">
        <w:tc>
          <w:tcPr>
            <w:tcW w:w="46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dos inquiridos que dizem que os profissionais de saúde da sua comunidade cobram aos pais os medicamentos para o tratamento da malária destinados a crianças</w:t>
            </w: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5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73,6%</w:t>
            </w:r>
          </w:p>
        </w:tc>
      </w:tr>
    </w:tbl>
    <w:p w:rsidR="00002819" w:rsidRPr="00B43090" w:rsidRDefault="00002819">
      <w:pPr>
        <w:rPr>
          <w:lang w:val="pt-PT"/>
        </w:rPr>
      </w:pPr>
    </w:p>
    <w:tbl>
      <w:tblPr>
        <w:tblStyle w:val="Table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0"/>
        <w:gridCol w:w="1136"/>
        <w:gridCol w:w="1136"/>
        <w:gridCol w:w="1239"/>
        <w:gridCol w:w="1239"/>
      </w:tblGrid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Exposição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mulheres expostas à televisão, rádio, jornal/revista, cartaz/folhetos, cartaz, outro (utilizar uma linha para cada opção disponível)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73,9%</w:t>
            </w:r>
            <w:r w:rsidRPr="00B43090">
              <w:rPr>
                <w:vertAlign w:val="superscript"/>
                <w:lang w:val="pt-PT"/>
              </w:rPr>
              <w:footnoteReference w:id="10"/>
            </w: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38,9%</w:t>
            </w:r>
            <w:r w:rsidRPr="00B43090">
              <w:rPr>
                <w:vertAlign w:val="superscript"/>
                <w:lang w:val="pt-PT"/>
              </w:rPr>
              <w:footnoteReference w:id="11"/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Conhecimento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inquiridos que sabiam que os mosquitos </w:t>
            </w:r>
            <w:r w:rsidRPr="00B43090">
              <w:rPr>
                <w:lang w:val="pt-PT"/>
              </w:rPr>
              <w:t>propagavam a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92,9%</w:t>
            </w: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91,4%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mencionaram a febre como o principal sinal de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59,2%</w:t>
            </w:r>
            <w:r w:rsidRPr="00B43090">
              <w:rPr>
                <w:vertAlign w:val="superscript"/>
                <w:lang w:val="pt-PT"/>
              </w:rPr>
              <w:footnoteReference w:id="12"/>
            </w: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79,7%</w:t>
            </w:r>
            <w:r w:rsidRPr="00B43090">
              <w:rPr>
                <w:vertAlign w:val="superscript"/>
                <w:lang w:val="pt-PT"/>
              </w:rPr>
              <w:footnoteReference w:id="13"/>
            </w:r>
          </w:p>
        </w:tc>
      </w:tr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Atitudes de procura de cuidados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prestadores de cuidados com </w:t>
            </w:r>
            <w:r w:rsidRPr="00B43090">
              <w:rPr>
                <w:lang w:val="pt-PT"/>
              </w:rPr>
              <w:lastRenderedPageBreak/>
              <w:t xml:space="preserve">atitudes positivas em relação ao </w:t>
            </w:r>
            <w:r w:rsidRPr="00B43090">
              <w:rPr>
                <w:lang w:val="pt-PT"/>
              </w:rPr>
              <w:t>tratamento da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93%</w:t>
            </w:r>
            <w:r w:rsidRPr="00B43090">
              <w:rPr>
                <w:vertAlign w:val="superscript"/>
                <w:lang w:val="pt-PT"/>
              </w:rPr>
              <w:footnoteReference w:id="14"/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lastRenderedPageBreak/>
              <w:t>Proporção de prestadores de cuidados que acreditam que um profissional de saúde é sempre a melhor pessoa com quem falar quando uma criança tem (suspeita de)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96,3%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acreditam</w:t>
            </w:r>
            <w:r w:rsidRPr="00B43090">
              <w:rPr>
                <w:lang w:val="pt-PT"/>
              </w:rPr>
              <w:t xml:space="preserve"> que uma criança deve ser levada a um profissional de saúde no mesmo dia em que começar a ter febre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92,0%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acreditam que é necessário um exame de sangue para confirmar que a doença é causada pela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87,6%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acreditam que todos os comprimidos antimaláricos prescritos pelo profissional de saúde devem ser tomados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92,6%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prestadores de cuidados que acreditam que é melhor começar a dar-lhes medicamentos </w:t>
            </w:r>
            <w:r w:rsidRPr="00B43090">
              <w:rPr>
                <w:lang w:val="pt-PT"/>
              </w:rPr>
              <w:t>contra a malária em casa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58,9%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acreditam que os medicamentos contra a malária só devem ser tomados se um profissional de saúde disser que a sua febre é causada pela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92,6%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prestadores de </w:t>
            </w:r>
            <w:r w:rsidRPr="00B43090">
              <w:rPr>
                <w:lang w:val="pt-PT"/>
              </w:rPr>
              <w:t>cuidados que acreditam ser importante tomar todos os medicamentos antimaláricos prescritos para garantir que o doente é tratado na totalidade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96,5%</w:t>
            </w:r>
          </w:p>
        </w:tc>
      </w:tr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Teste e eficácia da resposta ao tratamento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prestadores de cuidados que acreditam que os </w:t>
            </w:r>
            <w:r w:rsidRPr="00B43090">
              <w:rPr>
                <w:lang w:val="pt-PT"/>
              </w:rPr>
              <w:t>testes de diagnóstico são eficazes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58,4%</w:t>
            </w:r>
            <w:r w:rsidRPr="00B43090">
              <w:rPr>
                <w:vertAlign w:val="superscript"/>
                <w:lang w:val="pt-PT"/>
              </w:rPr>
              <w:footnoteReference w:id="15"/>
            </w:r>
          </w:p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acreditam que uma análise ao sangue para confirmar a malária é a única forma de saber se alguém realmente tem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84,8% mulheres; 84,6% homens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</w:t>
            </w:r>
            <w:r w:rsidRPr="00B43090">
              <w:rPr>
                <w:lang w:val="pt-PT"/>
              </w:rPr>
              <w:t xml:space="preserve">prestadores de cuidados que acreditam que os medicamentos contra a malária devem ser tomados mesmo que os </w:t>
            </w:r>
            <w:r w:rsidRPr="00B43090">
              <w:rPr>
                <w:lang w:val="pt-PT"/>
              </w:rPr>
              <w:lastRenderedPageBreak/>
              <w:t>resultados do teste de diagnóstico indiquem que a febre não é causada pela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34,2% mulheres; 31,7% </w:t>
            </w:r>
            <w:r w:rsidRPr="00B43090">
              <w:rPr>
                <w:lang w:val="pt-PT"/>
              </w:rPr>
              <w:lastRenderedPageBreak/>
              <w:t>homens</w:t>
            </w:r>
          </w:p>
        </w:tc>
      </w:tr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lastRenderedPageBreak/>
              <w:t xml:space="preserve">Autoeficácia para procurar </w:t>
            </w:r>
            <w:r w:rsidRPr="00B43090">
              <w:rPr>
                <w:b/>
                <w:lang w:val="pt-PT"/>
              </w:rPr>
              <w:t>cuidados, testar e tratar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cuidadores que estão confiantes de que podem levar com sucesso os seus filhos com menos de 5 anos para um centro de saúde ao primeiro sinal de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94,7%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cuidadores que estão confiantes que podem </w:t>
            </w:r>
            <w:r w:rsidRPr="00B43090">
              <w:rPr>
                <w:lang w:val="pt-PT"/>
              </w:rPr>
              <w:t>obter dinheiro para levar o seu filho com menos de 5 anos a uma unidade de saúde ao primeiro sinal de febre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95,5%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cuidadores que estão confiantes de que podem obter dinheiro para pagar os medicamentos que o fornecedor de saúde recomendar p</w:t>
            </w:r>
            <w:r w:rsidRPr="00B43090">
              <w:rPr>
                <w:lang w:val="pt-PT"/>
              </w:rPr>
              <w:t>ara tratar a malária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95,7%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Lista de atitudes adicionais de autoeficácia 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Normas sociais relativas à procura de cuidados, testes e tratamentos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cuidadores que acreditam que a maioria das crianças com menos de 5 anos na sua comunidade </w:t>
            </w:r>
            <w:r w:rsidRPr="00B43090">
              <w:rPr>
                <w:lang w:val="pt-PT"/>
              </w:rPr>
              <w:t>são levadas para uma unidade de saúde para serem testadas quanto à febre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92,1%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 xml:space="preserve">Proporção de cuidadores que acreditam que a maioria das pessoas na sua comunidade leva os seus filhos menores de 5 anos a um prestador de cuidados de saúde no mesmo dia ou </w:t>
            </w:r>
            <w:r w:rsidRPr="00B43090">
              <w:rPr>
                <w:lang w:val="pt-PT"/>
              </w:rPr>
              <w:t>no dia seguinte após terem desenvolvido uma febre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93,5%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Lista de atitudes adicionais da norma social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98,1%</w:t>
            </w:r>
          </w:p>
        </w:tc>
      </w:tr>
      <w:tr w:rsidR="00002819" w:rsidRPr="00B43090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B43090">
              <w:rPr>
                <w:b/>
                <w:lang w:val="pt-PT"/>
              </w:rPr>
              <w:t>Tomada de decisões relativas à procura de cuidados, testes e tratamentos</w:t>
            </w:r>
          </w:p>
        </w:tc>
      </w:tr>
      <w:tr w:rsidR="00002819" w:rsidRPr="00B43090">
        <w:tc>
          <w:tcPr>
            <w:tcW w:w="460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Proporção de prestadores de cuidados que normalmente tomam decisões</w:t>
            </w:r>
            <w:r w:rsidRPr="00B43090">
              <w:rPr>
                <w:lang w:val="pt-PT"/>
              </w:rPr>
              <w:t xml:space="preserve"> sobre o que fazer quando uma criança com menos de 5 anos tem febre</w:t>
            </w: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00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3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002819" w:rsidRPr="00B43090" w:rsidRDefault="00D6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B43090">
              <w:rPr>
                <w:lang w:val="pt-PT"/>
              </w:rPr>
              <w:t>73,2%</w:t>
            </w:r>
          </w:p>
        </w:tc>
      </w:tr>
    </w:tbl>
    <w:p w:rsidR="00002819" w:rsidRPr="00B43090" w:rsidRDefault="00002819">
      <w:pPr>
        <w:rPr>
          <w:lang w:val="pt-PT"/>
        </w:rPr>
      </w:pPr>
    </w:p>
    <w:p w:rsidR="00002819" w:rsidRPr="00B43090" w:rsidRDefault="00D6697A">
      <w:pPr>
        <w:rPr>
          <w:lang w:val="pt-PT"/>
        </w:rPr>
      </w:pPr>
      <w:r w:rsidRPr="00B43090">
        <w:rPr>
          <w:lang w:val="pt-PT"/>
        </w:rPr>
        <w:t xml:space="preserve">Este recurso faz parte do </w:t>
      </w:r>
      <w:hyperlink r:id="rId11" w:history="1">
        <w:r w:rsidRPr="00B43090">
          <w:rPr>
            <w:color w:val="1155CC"/>
            <w:u w:val="single"/>
            <w:lang w:val="pt-PT"/>
          </w:rPr>
          <w:t xml:space="preserve">Conjunto de Ferramentas de Desenvolvimento </w:t>
        </w:r>
        <w:r w:rsidRPr="00B43090">
          <w:rPr>
            <w:color w:val="1155CC"/>
            <w:u w:val="single"/>
            <w:lang w:val="pt-PT"/>
          </w:rPr>
          <w:t>Estratégico da Mudança Social e Comportamental da Malária</w:t>
        </w:r>
      </w:hyperlink>
    </w:p>
    <w:sectPr w:rsidR="00002819" w:rsidRPr="00B43090">
      <w:footerReference w:type="first" r:id="rId12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7A" w:rsidRDefault="00D6697A">
      <w:pPr>
        <w:spacing w:after="0" w:line="240" w:lineRule="auto"/>
      </w:pPr>
      <w:r>
        <w:separator/>
      </w:r>
    </w:p>
  </w:endnote>
  <w:endnote w:type="continuationSeparator" w:id="0">
    <w:p w:rsidR="00D6697A" w:rsidRDefault="00D6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9" w:rsidRPr="00B43090" w:rsidRDefault="00D66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>Resumo dos dados de Mudança Social e Comportamental: gestão de casos de malária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9" w:rsidRDefault="00D66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lang w:val="pt-BR"/>
      </w:rPr>
      <w:t xml:space="preserve">[Título </w:t>
    </w:r>
    <w:r>
      <w:rPr>
        <w:lang w:val="pt-BR"/>
      </w:rPr>
      <w:t>do documento]</w:t>
    </w:r>
    <w:r>
      <w:rPr>
        <w:lang w:val="pt-BR"/>
      </w:rPr>
      <w:tab/>
      <w:t xml:space="preserve">| </w:t>
    </w:r>
    <w:r>
      <w:rPr>
        <w:lang w:val="pt-BR"/>
      </w:rPr>
      <w:fldChar w:fldCharType="begin"/>
    </w:r>
    <w:r>
      <w:rPr>
        <w:lang w:val="pt-BR"/>
      </w:rPr>
      <w:instrText>PAGE</w:instrText>
    </w:r>
    <w:r>
      <w:rPr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9" w:rsidRPr="00B43090" w:rsidRDefault="00D66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 xml:space="preserve">Resumo </w:t>
    </w:r>
    <w:r>
      <w:rPr>
        <w:lang w:val="pt-BR"/>
      </w:rPr>
      <w:t>dos dados de mudança social e comportamental: Exemplo: Costa do Marfim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7A" w:rsidRDefault="00D6697A">
      <w:pPr>
        <w:spacing w:after="0" w:line="240" w:lineRule="auto"/>
      </w:pPr>
      <w:r>
        <w:separator/>
      </w:r>
    </w:p>
  </w:footnote>
  <w:footnote w:type="continuationSeparator" w:id="0">
    <w:p w:rsidR="00D6697A" w:rsidRDefault="00D6697A">
      <w:pPr>
        <w:spacing w:after="0" w:line="240" w:lineRule="auto"/>
      </w:pPr>
      <w:r>
        <w:continuationSeparator/>
      </w:r>
    </w:p>
  </w:footnote>
  <w:footnote w:id="1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Entre as crianças com menos de cinco anos com febre nas últimas duas semanas, percentagem para a qual foi solicitado aconselhamento ou tratamento a um fornecedor ou centro de saúde</w:t>
      </w:r>
    </w:p>
  </w:footnote>
  <w:footnote w:id="2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Percentagem </w:t>
      </w:r>
      <w:r>
        <w:rPr>
          <w:sz w:val="18"/>
          <w:szCs w:val="18"/>
          <w:lang w:val="pt-BR"/>
        </w:rPr>
        <w:t>de quem procurou aconselhamento ou tratamento numa instituiç</w:t>
      </w:r>
      <w:r>
        <w:rPr>
          <w:sz w:val="18"/>
          <w:szCs w:val="18"/>
          <w:lang w:val="pt-BR"/>
        </w:rPr>
        <w:t>ão de saúde ou farmácia (não especifica no mesmo dia ou no dia seguinte</w:t>
      </w:r>
    </w:p>
  </w:footnote>
  <w:footnote w:id="3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Procurou </w:t>
      </w:r>
      <w:r>
        <w:rPr>
          <w:sz w:val="18"/>
          <w:szCs w:val="18"/>
          <w:lang w:val="pt-BR"/>
        </w:rPr>
        <w:t>cuidados no mesmo dia ou no dia seguinte em que a febre começou; 62,8% foi para a unidade de saúde ou Profissionais de Saúde Comunitária nas primeiras 24 horas; 10,6% procur</w:t>
      </w:r>
      <w:r>
        <w:rPr>
          <w:sz w:val="18"/>
          <w:szCs w:val="18"/>
          <w:lang w:val="pt-BR"/>
        </w:rPr>
        <w:t>ou imediatamente cuidados, mas não na unidade de saúde ou junto de um agente de saúde comunitário</w:t>
      </w:r>
    </w:p>
  </w:footnote>
  <w:footnote w:id="4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11,0% </w:t>
      </w:r>
      <w:r>
        <w:rPr>
          <w:sz w:val="18"/>
          <w:szCs w:val="18"/>
          <w:lang w:val="pt-BR"/>
        </w:rPr>
        <w:t>tomou antimaláricos no mesmo dia ou no dia seguinte após o início da febre</w:t>
      </w:r>
    </w:p>
  </w:footnote>
  <w:footnote w:id="5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Dos </w:t>
      </w:r>
      <w:r>
        <w:rPr>
          <w:sz w:val="18"/>
          <w:szCs w:val="18"/>
          <w:lang w:val="pt-BR"/>
        </w:rPr>
        <w:t>que tiveram resultados positivos receberam alguma forma de tratamento</w:t>
      </w:r>
    </w:p>
  </w:footnote>
  <w:footnote w:id="6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Recebeu </w:t>
      </w:r>
      <w:r>
        <w:rPr>
          <w:sz w:val="18"/>
          <w:szCs w:val="18"/>
          <w:lang w:val="pt-BR"/>
        </w:rPr>
        <w:t>um teste de malária</w:t>
      </w:r>
    </w:p>
  </w:footnote>
  <w:footnote w:id="7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64,1% </w:t>
      </w:r>
      <w:r>
        <w:rPr>
          <w:sz w:val="18"/>
          <w:szCs w:val="18"/>
          <w:lang w:val="pt-BR"/>
        </w:rPr>
        <w:t>- tratamento da Terapia Combinada à Base de Artemisinina entre aqueles que receberam anti-maláricos</w:t>
      </w:r>
    </w:p>
  </w:footnote>
  <w:footnote w:id="8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1,7% </w:t>
      </w:r>
      <w:r>
        <w:rPr>
          <w:sz w:val="18"/>
          <w:szCs w:val="18"/>
          <w:lang w:val="pt-BR"/>
        </w:rPr>
        <w:t>tomou a Terapia Combinada à Base de Artemisinina no mesmo dia ou no dia seguinte após o início da febre</w:t>
      </w:r>
    </w:p>
  </w:footnote>
  <w:footnote w:id="9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Dos </w:t>
      </w:r>
      <w:r>
        <w:rPr>
          <w:sz w:val="18"/>
          <w:szCs w:val="18"/>
          <w:lang w:val="pt-BR"/>
        </w:rPr>
        <w:t>que foram diagnosticados com malária</w:t>
      </w:r>
    </w:p>
  </w:footnote>
  <w:footnote w:id="10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Pelo </w:t>
      </w:r>
      <w:r>
        <w:rPr>
          <w:sz w:val="18"/>
          <w:szCs w:val="18"/>
          <w:lang w:val="pt-BR"/>
        </w:rPr>
        <w:t>menos uma mensagem televisiva; 48% rádio; 50% cartazes; 12,3% leitura sobre a malária (chefes de família, não mulheres)</w:t>
      </w:r>
    </w:p>
  </w:footnote>
  <w:footnote w:id="11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Mulheres </w:t>
      </w:r>
      <w:r>
        <w:rPr>
          <w:sz w:val="18"/>
          <w:szCs w:val="18"/>
          <w:lang w:val="pt-BR"/>
        </w:rPr>
        <w:t>expostas a mensagens de malária de qualquer fonte. 65,8% de todos os inquiridos (</w:t>
      </w:r>
      <w:r>
        <w:rPr>
          <w:sz w:val="18"/>
          <w:szCs w:val="18"/>
          <w:lang w:val="pt-BR"/>
        </w:rPr>
        <w:t>homens e mulheres) citaram a televisão como a sua fonte; 21,7% rádio; 5,9% outdoors e cartazes; 4,6% de profissionais de saúde; 6,3% ouviram de amigos ou parentes</w:t>
      </w:r>
    </w:p>
  </w:footnote>
  <w:footnote w:id="12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Dos </w:t>
      </w:r>
      <w:r>
        <w:rPr>
          <w:sz w:val="18"/>
          <w:szCs w:val="18"/>
          <w:lang w:val="pt-BR"/>
        </w:rPr>
        <w:t>chefes de família, 88,5% mencionaram a febre como sinal de malária</w:t>
      </w:r>
    </w:p>
  </w:footnote>
  <w:footnote w:id="13">
    <w:p w:rsidR="00002819" w:rsidRPr="00B43090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pt-PT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Mencionaram </w:t>
      </w:r>
      <w:r>
        <w:rPr>
          <w:sz w:val="18"/>
          <w:szCs w:val="18"/>
          <w:lang w:val="pt-BR"/>
        </w:rPr>
        <w:t>a febr</w:t>
      </w:r>
      <w:r>
        <w:rPr>
          <w:sz w:val="18"/>
          <w:szCs w:val="18"/>
          <w:lang w:val="pt-BR"/>
        </w:rPr>
        <w:t>e como um sintoma de malária</w:t>
      </w:r>
    </w:p>
  </w:footnote>
  <w:footnote w:id="14">
    <w:p w:rsidR="00002819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93,5% </w:t>
      </w:r>
      <w:r>
        <w:rPr>
          <w:sz w:val="18"/>
          <w:szCs w:val="18"/>
          <w:lang w:val="pt-BR"/>
        </w:rPr>
        <w:t>mulheres; 93,4% homens</w:t>
      </w:r>
    </w:p>
  </w:footnote>
  <w:footnote w:id="15">
    <w:p w:rsidR="00002819" w:rsidRDefault="00D66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  <w:lang w:val="pt-BR"/>
        </w:rPr>
        <w:t xml:space="preserve"> 58,5% </w:t>
      </w:r>
      <w:r>
        <w:rPr>
          <w:sz w:val="18"/>
          <w:szCs w:val="18"/>
          <w:lang w:val="pt-BR"/>
        </w:rPr>
        <w:t>mulheres; 58,2% homens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19"/>
    <w:rsid w:val="00002819"/>
    <w:rsid w:val="00B43090"/>
    <w:rsid w:val="00D6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3">
    <w:name w:val="Table3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3">
    <w:name w:val="Table3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dmalaria.org/sites/default/files/National-Malaria-SBC-Strategy-Template-2020-E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malaria.org/sites/default/files/National-Malaria-SBC-Strategy-Guidance-2020-EN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1129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2020-11-04T22:21:00Z</dcterms:created>
  <dcterms:modified xsi:type="dcterms:W3CDTF">2020-11-04T22:24:00Z</dcterms:modified>
</cp:coreProperties>
</file>