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8D" w:rsidRPr="00A57861" w:rsidRDefault="0095216F">
      <w:pPr>
        <w:pStyle w:val="Titre"/>
        <w:rPr>
          <w:color w:val="000000"/>
          <w:lang w:val="fr-FR"/>
        </w:rPr>
      </w:pPr>
      <w:bookmarkStart w:id="0" w:name="_GoBack"/>
      <w:bookmarkEnd w:id="0"/>
      <w:r>
        <w:rPr>
          <w:color w:val="000000"/>
          <w:lang w:val="fr-FR"/>
        </w:rPr>
        <w:t>Synthèse des données sur les changements sociaux et comportementaux (CSC)</w:t>
      </w:r>
    </w:p>
    <w:p w:rsidR="00303F8D" w:rsidRPr="00A57861" w:rsidRDefault="00303F8D">
      <w:pPr>
        <w:spacing w:after="160" w:line="259" w:lineRule="auto"/>
        <w:rPr>
          <w:b/>
          <w:color w:val="000000"/>
          <w:sz w:val="54"/>
          <w:szCs w:val="54"/>
          <w:lang w:val="fr-FR"/>
        </w:rPr>
      </w:pPr>
    </w:p>
    <w:p w:rsidR="00303F8D" w:rsidRPr="00A57861" w:rsidRDefault="00DA22A8">
      <w:pPr>
        <w:spacing w:after="160" w:line="259" w:lineRule="auto"/>
        <w:rPr>
          <w:b/>
          <w:color w:val="000000"/>
          <w:sz w:val="54"/>
          <w:szCs w:val="54"/>
          <w:lang w:val="fr-FR"/>
        </w:rPr>
      </w:pPr>
      <w:r>
        <w:rPr>
          <w:b/>
          <w:color w:val="000000"/>
          <w:sz w:val="54"/>
          <w:szCs w:val="54"/>
          <w:lang w:val="fr-FR"/>
        </w:rPr>
        <w:t>En matière d</w:t>
      </w:r>
      <w:r w:rsidR="00A57861">
        <w:rPr>
          <w:b/>
          <w:color w:val="000000"/>
          <w:sz w:val="54"/>
          <w:szCs w:val="54"/>
          <w:lang w:val="fr-FR"/>
        </w:rPr>
        <w:t>’utilisation des MII</w:t>
      </w:r>
      <w:r w:rsidR="0095216F">
        <w:rPr>
          <w:b/>
          <w:color w:val="000000"/>
          <w:sz w:val="54"/>
          <w:szCs w:val="54"/>
          <w:lang w:val="fr-FR"/>
        </w:rPr>
        <w:t>.</w:t>
      </w:r>
    </w:p>
    <w:p w:rsidR="00303F8D" w:rsidRPr="00A57861" w:rsidRDefault="00303F8D">
      <w:pPr>
        <w:spacing w:after="160" w:line="259" w:lineRule="auto"/>
        <w:rPr>
          <w:b/>
          <w:color w:val="000000"/>
          <w:sz w:val="54"/>
          <w:szCs w:val="54"/>
          <w:lang w:val="fr-FR"/>
        </w:rPr>
      </w:pPr>
    </w:p>
    <w:p w:rsidR="00303F8D" w:rsidRPr="00A57861" w:rsidRDefault="00303F8D">
      <w:pPr>
        <w:spacing w:after="160" w:line="259" w:lineRule="auto"/>
        <w:rPr>
          <w:b/>
          <w:color w:val="000000"/>
          <w:sz w:val="54"/>
          <w:szCs w:val="54"/>
          <w:lang w:val="fr-FR"/>
        </w:rPr>
      </w:pPr>
    </w:p>
    <w:p w:rsidR="00303F8D" w:rsidRPr="00A57861" w:rsidRDefault="00303F8D">
      <w:pPr>
        <w:spacing w:after="160" w:line="259" w:lineRule="auto"/>
        <w:rPr>
          <w:b/>
          <w:color w:val="000000"/>
          <w:sz w:val="54"/>
          <w:szCs w:val="54"/>
          <w:lang w:val="fr-FR"/>
        </w:rPr>
      </w:pPr>
    </w:p>
    <w:p w:rsidR="00303F8D" w:rsidRPr="00A57861" w:rsidRDefault="00303F8D">
      <w:pPr>
        <w:spacing w:after="160" w:line="259" w:lineRule="auto"/>
        <w:rPr>
          <w:b/>
          <w:color w:val="000000"/>
          <w:sz w:val="54"/>
          <w:szCs w:val="54"/>
          <w:lang w:val="fr-FR"/>
        </w:rPr>
      </w:pPr>
    </w:p>
    <w:p w:rsidR="00303F8D" w:rsidRPr="00A57861" w:rsidRDefault="00303F8D">
      <w:pPr>
        <w:spacing w:after="160" w:line="259" w:lineRule="auto"/>
        <w:rPr>
          <w:b/>
          <w:color w:val="000000"/>
          <w:sz w:val="54"/>
          <w:szCs w:val="54"/>
          <w:lang w:val="fr-FR"/>
        </w:rPr>
      </w:pPr>
    </w:p>
    <w:p w:rsidR="00303F8D" w:rsidRPr="00A57861" w:rsidRDefault="00303F8D">
      <w:pPr>
        <w:spacing w:after="160" w:line="259" w:lineRule="auto"/>
        <w:rPr>
          <w:b/>
          <w:color w:val="000000"/>
          <w:sz w:val="54"/>
          <w:szCs w:val="54"/>
          <w:lang w:val="fr-FR"/>
        </w:rPr>
      </w:pPr>
    </w:p>
    <w:p w:rsidR="00303F8D" w:rsidRPr="00A57861" w:rsidRDefault="00303F8D">
      <w:pPr>
        <w:spacing w:after="160" w:line="259" w:lineRule="auto"/>
        <w:rPr>
          <w:b/>
          <w:color w:val="000000"/>
          <w:sz w:val="54"/>
          <w:szCs w:val="54"/>
          <w:lang w:val="fr-FR"/>
        </w:rPr>
      </w:pPr>
    </w:p>
    <w:p w:rsidR="00303F8D" w:rsidRDefault="0095216F">
      <w:pPr>
        <w:spacing w:after="160" w:line="259" w:lineRule="auto"/>
        <w:jc w:val="center"/>
        <w:sectPr w:rsidR="00303F8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08"/>
        </w:sectPr>
      </w:pPr>
      <w:r>
        <w:rPr>
          <w:b/>
          <w:noProof/>
          <w:color w:val="000000"/>
          <w:sz w:val="54"/>
          <w:szCs w:val="54"/>
          <w:lang w:val="fr-FR" w:eastAsia="fr-FR"/>
        </w:rPr>
        <w:drawing>
          <wp:inline distT="114300" distB="114300" distL="114300" distR="114300">
            <wp:extent cx="6076950" cy="1304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544098865" name="image1.png"/>
                    <pic:cNvPicPr/>
                  </pic:nvPicPr>
                  <pic:blipFill>
                    <a:blip r:embed="rId12"/>
                    <a:stretch>
                      <a:fillRect/>
                    </a:stretch>
                  </pic:blipFill>
                  <pic:spPr>
                    <a:xfrm>
                      <a:off x="0" y="0"/>
                      <a:ext cx="6076950" cy="1304925"/>
                    </a:xfrm>
                    <a:prstGeom prst="rect">
                      <a:avLst/>
                    </a:prstGeom>
                  </pic:spPr>
                </pic:pic>
              </a:graphicData>
            </a:graphic>
          </wp:inline>
        </w:drawing>
      </w:r>
    </w:p>
    <w:p w:rsidR="00303F8D" w:rsidRPr="00A57861" w:rsidRDefault="0095216F">
      <w:pPr>
        <w:rPr>
          <w:b/>
          <w:lang w:val="fr-FR"/>
        </w:rPr>
      </w:pPr>
      <w:r>
        <w:rPr>
          <w:b/>
          <w:lang w:val="fr-FR"/>
        </w:rPr>
        <w:lastRenderedPageBreak/>
        <w:t>Comment utiliser cette synthèse de données</w:t>
      </w:r>
    </w:p>
    <w:p w:rsidR="00303F8D" w:rsidRPr="00A57861" w:rsidRDefault="0095216F">
      <w:pPr>
        <w:rPr>
          <w:lang w:val="fr-FR"/>
        </w:rPr>
      </w:pPr>
      <w:r>
        <w:rPr>
          <w:lang w:val="fr-FR"/>
        </w:rPr>
        <w:t>Cette synthèse de données sur l</w:t>
      </w:r>
      <w:r w:rsidR="00A57861">
        <w:rPr>
          <w:lang w:val="fr-FR"/>
        </w:rPr>
        <w:t>’</w:t>
      </w:r>
      <w:r>
        <w:rPr>
          <w:lang w:val="fr-FR"/>
        </w:rPr>
        <w:t>utilisation des MII fait partie de la boîte à outils pour le développement de stratégie du Partenariat RBM pour mettre fin au paludisme. Cette synthèse de données doit être utilisée pour éclairer l</w:t>
      </w:r>
      <w:r w:rsidR="00A57861">
        <w:rPr>
          <w:lang w:val="fr-FR"/>
        </w:rPr>
        <w:t>’</w:t>
      </w:r>
      <w:r>
        <w:rPr>
          <w:lang w:val="fr-FR"/>
        </w:rPr>
        <w:t>élaboration de la stratégie de CSC d</w:t>
      </w:r>
      <w:r w:rsidR="00A57861">
        <w:rPr>
          <w:lang w:val="fr-FR"/>
        </w:rPr>
        <w:t>’</w:t>
      </w:r>
      <w:r>
        <w:rPr>
          <w:lang w:val="fr-FR"/>
        </w:rPr>
        <w:t xml:space="preserve">un pays en matière de paludisme. Plus précisément, ces données doivent être utilisées pour alimenter la section prospective de la stratégie (voir le </w:t>
      </w:r>
      <w:hyperlink r:id="rId13" w:history="1">
        <w:r>
          <w:rPr>
            <w:color w:val="1155CC"/>
            <w:u w:val="single"/>
            <w:lang w:val="fr-FR"/>
          </w:rPr>
          <w:t>guide</w:t>
        </w:r>
      </w:hyperlink>
      <w:r>
        <w:rPr>
          <w:lang w:val="fr-FR"/>
        </w:rPr>
        <w:t xml:space="preserve"> et le </w:t>
      </w:r>
      <w:hyperlink r:id="rId14" w:history="1">
        <w:r>
          <w:rPr>
            <w:color w:val="1155CC"/>
            <w:u w:val="single"/>
            <w:lang w:val="fr-FR"/>
          </w:rPr>
          <w:t>modèle</w:t>
        </w:r>
      </w:hyperlink>
      <w:r>
        <w:rPr>
          <w:lang w:val="fr-FR"/>
        </w:rPr>
        <w:t xml:space="preserve"> d</w:t>
      </w:r>
      <w:r w:rsidR="00A57861">
        <w:rPr>
          <w:lang w:val="fr-FR"/>
        </w:rPr>
        <w:t>’</w:t>
      </w:r>
      <w:r>
        <w:rPr>
          <w:lang w:val="fr-FR"/>
        </w:rPr>
        <w:t>élaboration de la stratégie de changement social et comportemental du Partenariat RBM pour mettre fin au paludisme) et les plans d</w:t>
      </w:r>
      <w:r w:rsidR="00A57861">
        <w:rPr>
          <w:lang w:val="fr-FR"/>
        </w:rPr>
        <w:t>’</w:t>
      </w:r>
      <w:r>
        <w:rPr>
          <w:lang w:val="fr-FR"/>
        </w:rPr>
        <w:t>intervention spécifiques (qui comprennent des analyses de situation, des analyses comportementales, des analyses d</w:t>
      </w:r>
      <w:r w:rsidR="00A57861">
        <w:rPr>
          <w:lang w:val="fr-FR"/>
        </w:rPr>
        <w:t>’</w:t>
      </w:r>
      <w:r>
        <w:rPr>
          <w:lang w:val="fr-FR"/>
        </w:rPr>
        <w:t>audience et des approches de communication stratégique). Les données disponibles doivent être collectées et synthétisées ici avant l</w:t>
      </w:r>
      <w:r w:rsidR="00A57861">
        <w:rPr>
          <w:lang w:val="fr-FR"/>
        </w:rPr>
        <w:t>’</w:t>
      </w:r>
      <w:r>
        <w:rPr>
          <w:lang w:val="fr-FR"/>
        </w:rPr>
        <w:t>atelier des parties prenantes sur l</w:t>
      </w:r>
      <w:r w:rsidR="00A57861">
        <w:rPr>
          <w:lang w:val="fr-FR"/>
        </w:rPr>
        <w:t>’</w:t>
      </w:r>
      <w:r>
        <w:rPr>
          <w:lang w:val="fr-FR"/>
        </w:rPr>
        <w:t xml:space="preserve">élaboration de la stratégie, et bien avant la séance de rédaction de la stratégie qui suivra. Tous les partenaires seront ainsi familiarisés avec les données disponibles, ce qui permettra de garantir que la stratégie de CSC contre le paludisme qui en résultera sera fondée sur des données probantes. </w:t>
      </w:r>
    </w:p>
    <w:p w:rsidR="00303F8D" w:rsidRPr="00A57861" w:rsidRDefault="0095216F">
      <w:pPr>
        <w:rPr>
          <w:color w:val="000000"/>
          <w:lang w:val="fr-FR"/>
        </w:rPr>
      </w:pPr>
      <w:r>
        <w:rPr>
          <w:i/>
          <w:sz w:val="20"/>
          <w:szCs w:val="20"/>
          <w:lang w:val="fr-FR"/>
        </w:rPr>
        <w:t>Remarque</w:t>
      </w:r>
      <w:r w:rsidR="00A57861">
        <w:rPr>
          <w:i/>
          <w:sz w:val="20"/>
          <w:szCs w:val="20"/>
          <w:lang w:val="fr-FR"/>
        </w:rPr>
        <w:t> </w:t>
      </w:r>
      <w:r>
        <w:rPr>
          <w:i/>
          <w:sz w:val="20"/>
          <w:szCs w:val="20"/>
          <w:lang w:val="fr-FR"/>
        </w:rPr>
        <w:t>: le tableau d</w:t>
      </w:r>
      <w:r w:rsidR="00A57861">
        <w:rPr>
          <w:i/>
          <w:sz w:val="20"/>
          <w:szCs w:val="20"/>
          <w:lang w:val="fr-FR"/>
        </w:rPr>
        <w:t>’</w:t>
      </w:r>
      <w:r>
        <w:rPr>
          <w:i/>
          <w:sz w:val="20"/>
          <w:szCs w:val="20"/>
          <w:lang w:val="fr-FR"/>
        </w:rPr>
        <w:t>indicateurs suivant n</w:t>
      </w:r>
      <w:r w:rsidR="00A57861">
        <w:rPr>
          <w:i/>
          <w:sz w:val="20"/>
          <w:szCs w:val="20"/>
          <w:lang w:val="fr-FR"/>
        </w:rPr>
        <w:t>’</w:t>
      </w:r>
      <w:r>
        <w:rPr>
          <w:i/>
          <w:sz w:val="20"/>
          <w:szCs w:val="20"/>
          <w:lang w:val="fr-FR"/>
        </w:rPr>
        <w:t>est pas une liste exhaustive. Les pays doivent supprimer les indicateurs qui ne sont pas disponibles/pertinents et ajouter ceux qui peuvent être disponibles/pertinents selon les besoins.</w:t>
      </w:r>
    </w:p>
    <w:tbl>
      <w:tblPr>
        <w:tblStyle w:val="Table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4"/>
        <w:gridCol w:w="823"/>
        <w:gridCol w:w="811"/>
        <w:gridCol w:w="811"/>
        <w:gridCol w:w="811"/>
      </w:tblGrid>
      <w:tr w:rsidR="00303F8D" w:rsidRPr="00DA22A8">
        <w:tc>
          <w:tcPr>
            <w:tcW w:w="7728" w:type="dxa"/>
            <w:gridSpan w:val="3"/>
            <w:tcBorders>
              <w:top w:val="single" w:sz="4" w:space="0" w:color="2E75B5"/>
              <w:left w:val="single" w:sz="4" w:space="0" w:color="2E75B5"/>
              <w:bottom w:val="nil"/>
              <w:right w:val="single" w:sz="4" w:space="0" w:color="2E75B5"/>
            </w:tcBorders>
            <w:shd w:val="clear" w:color="auto" w:fill="2E75B5"/>
          </w:tcPr>
          <w:p w:rsidR="00303F8D" w:rsidRPr="00A57861" w:rsidRDefault="0095216F">
            <w:pPr>
              <w:pBdr>
                <w:top w:val="nil"/>
                <w:left w:val="nil"/>
                <w:bottom w:val="nil"/>
                <w:right w:val="nil"/>
                <w:between w:val="nil"/>
              </w:pBdr>
              <w:spacing w:before="80" w:after="80"/>
              <w:rPr>
                <w:b/>
                <w:smallCaps/>
                <w:color w:val="FFFFFF"/>
                <w:lang w:val="fr-FR"/>
              </w:rPr>
            </w:pPr>
            <w:proofErr w:type="spellStart"/>
            <w:r>
              <w:rPr>
                <w:b/>
                <w:smallCaps/>
                <w:color w:val="FFFFFF"/>
                <w:lang w:val="fr-FR"/>
              </w:rPr>
              <w:t>sbcrief</w:t>
            </w:r>
            <w:proofErr w:type="spellEnd"/>
            <w:r w:rsidR="00A57861">
              <w:rPr>
                <w:b/>
                <w:smallCaps/>
                <w:color w:val="FFFFFF"/>
                <w:lang w:val="fr-FR"/>
              </w:rPr>
              <w:t> </w:t>
            </w:r>
            <w:r>
              <w:rPr>
                <w:b/>
                <w:smallCaps/>
                <w:color w:val="FFFFFF"/>
                <w:lang w:val="fr-FR"/>
              </w:rPr>
              <w:t>: comportements d</w:t>
            </w:r>
            <w:r w:rsidR="00A57861">
              <w:rPr>
                <w:b/>
                <w:smallCaps/>
                <w:color w:val="FFFFFF"/>
                <w:lang w:val="fr-FR"/>
              </w:rPr>
              <w:t>’</w:t>
            </w:r>
            <w:r>
              <w:rPr>
                <w:b/>
                <w:smallCaps/>
                <w:color w:val="FFFFFF"/>
                <w:lang w:val="fr-FR"/>
              </w:rPr>
              <w:t>utilisation des mii</w:t>
            </w:r>
          </w:p>
        </w:tc>
        <w:tc>
          <w:tcPr>
            <w:tcW w:w="811" w:type="dxa"/>
            <w:tcBorders>
              <w:top w:val="single" w:sz="4" w:space="0" w:color="2E75B5"/>
              <w:left w:val="single" w:sz="4" w:space="0" w:color="2E75B5"/>
              <w:bottom w:val="nil"/>
              <w:right w:val="single" w:sz="4" w:space="0" w:color="2E75B5"/>
            </w:tcBorders>
            <w:shd w:val="clear" w:color="auto" w:fill="2E75B5"/>
          </w:tcPr>
          <w:p w:rsidR="00303F8D" w:rsidRPr="00A57861" w:rsidRDefault="00303F8D">
            <w:pPr>
              <w:pBdr>
                <w:top w:val="nil"/>
                <w:left w:val="nil"/>
                <w:bottom w:val="nil"/>
                <w:right w:val="nil"/>
                <w:between w:val="nil"/>
              </w:pBdr>
              <w:spacing w:before="80" w:after="80"/>
              <w:rPr>
                <w:b/>
                <w:smallCaps/>
                <w:color w:val="FFFFFF"/>
                <w:lang w:val="fr-FR"/>
              </w:rPr>
            </w:pPr>
          </w:p>
        </w:tc>
        <w:tc>
          <w:tcPr>
            <w:tcW w:w="811" w:type="dxa"/>
            <w:tcBorders>
              <w:top w:val="single" w:sz="4" w:space="0" w:color="2E75B5"/>
              <w:left w:val="single" w:sz="4" w:space="0" w:color="2E75B5"/>
              <w:bottom w:val="nil"/>
              <w:right w:val="single" w:sz="4" w:space="0" w:color="2E75B5"/>
            </w:tcBorders>
            <w:shd w:val="clear" w:color="auto" w:fill="2E75B5"/>
          </w:tcPr>
          <w:p w:rsidR="00303F8D" w:rsidRPr="00A57861" w:rsidRDefault="00303F8D">
            <w:pPr>
              <w:pBdr>
                <w:top w:val="nil"/>
                <w:left w:val="nil"/>
                <w:bottom w:val="nil"/>
                <w:right w:val="nil"/>
                <w:between w:val="nil"/>
              </w:pBdr>
              <w:spacing w:before="80" w:after="80"/>
              <w:rPr>
                <w:b/>
                <w:smallCaps/>
                <w:color w:val="FFFFFF"/>
                <w:lang w:val="fr-FR"/>
              </w:rPr>
            </w:pPr>
          </w:p>
        </w:tc>
      </w:tr>
      <w:tr w:rsidR="00303F8D">
        <w:tc>
          <w:tcPr>
            <w:tcW w:w="6094" w:type="dxa"/>
            <w:tcBorders>
              <w:top w:val="nil"/>
              <w:left w:val="single" w:sz="4" w:space="0" w:color="A6A6A6"/>
              <w:bottom w:val="single" w:sz="6" w:space="0" w:color="A6A6A6"/>
              <w:right w:val="single" w:sz="6" w:space="0" w:color="A6A6A6"/>
            </w:tcBorders>
            <w:shd w:val="clear" w:color="auto" w:fill="EDEDED"/>
          </w:tcPr>
          <w:p w:rsidR="00303F8D" w:rsidRDefault="0095216F">
            <w:pPr>
              <w:pBdr>
                <w:top w:val="nil"/>
                <w:left w:val="nil"/>
                <w:bottom w:val="nil"/>
                <w:right w:val="nil"/>
                <w:between w:val="nil"/>
              </w:pBdr>
              <w:spacing w:before="40" w:after="40"/>
              <w:rPr>
                <w:smallCaps/>
              </w:rPr>
            </w:pPr>
            <w:r>
              <w:rPr>
                <w:smallCaps/>
                <w:lang w:val="fr-FR"/>
              </w:rPr>
              <w:t>Indicateur</w:t>
            </w:r>
          </w:p>
        </w:tc>
        <w:tc>
          <w:tcPr>
            <w:tcW w:w="823" w:type="dxa"/>
            <w:tcBorders>
              <w:top w:val="nil"/>
              <w:left w:val="single" w:sz="6" w:space="0" w:color="A6A6A6"/>
              <w:bottom w:val="single" w:sz="6" w:space="0" w:color="A6A6A6"/>
              <w:right w:val="single" w:sz="6" w:space="0" w:color="A6A6A6"/>
            </w:tcBorders>
            <w:shd w:val="clear" w:color="auto" w:fill="EDEDED"/>
          </w:tcPr>
          <w:p w:rsidR="00303F8D" w:rsidRDefault="0095216F">
            <w:pPr>
              <w:pBdr>
                <w:top w:val="nil"/>
                <w:left w:val="nil"/>
                <w:bottom w:val="nil"/>
                <w:right w:val="nil"/>
                <w:between w:val="nil"/>
              </w:pBdr>
              <w:spacing w:before="40" w:after="40"/>
              <w:jc w:val="center"/>
              <w:rPr>
                <w:smallCaps/>
              </w:rPr>
            </w:pPr>
            <w:proofErr w:type="spellStart"/>
            <w:r>
              <w:rPr>
                <w:smallCaps/>
                <w:lang w:val="fr-FR"/>
              </w:rPr>
              <w:t>mics</w:t>
            </w:r>
            <w:proofErr w:type="spellEnd"/>
          </w:p>
          <w:p w:rsidR="00303F8D" w:rsidRDefault="0095216F">
            <w:pPr>
              <w:pBdr>
                <w:top w:val="nil"/>
                <w:left w:val="nil"/>
                <w:bottom w:val="nil"/>
                <w:right w:val="nil"/>
                <w:between w:val="nil"/>
              </w:pBdr>
              <w:spacing w:before="40" w:after="40"/>
              <w:jc w:val="center"/>
              <w:rPr>
                <w:smallCaps/>
              </w:rPr>
            </w:pPr>
            <w:r>
              <w:rPr>
                <w:smallCaps/>
                <w:lang w:val="fr-FR"/>
              </w:rPr>
              <w:t>année</w:t>
            </w:r>
          </w:p>
        </w:tc>
        <w:tc>
          <w:tcPr>
            <w:tcW w:w="811" w:type="dxa"/>
            <w:tcBorders>
              <w:top w:val="nil"/>
              <w:left w:val="single" w:sz="6" w:space="0" w:color="A6A6A6"/>
              <w:bottom w:val="single" w:sz="6" w:space="0" w:color="A6A6A6"/>
              <w:right w:val="single" w:sz="4" w:space="0" w:color="A6A6A6"/>
            </w:tcBorders>
            <w:shd w:val="clear" w:color="auto" w:fill="EDEDED"/>
          </w:tcPr>
          <w:p w:rsidR="00303F8D" w:rsidRDefault="0095216F">
            <w:pPr>
              <w:pBdr>
                <w:top w:val="nil"/>
                <w:left w:val="nil"/>
                <w:bottom w:val="nil"/>
                <w:right w:val="nil"/>
                <w:between w:val="nil"/>
              </w:pBdr>
              <w:spacing w:before="40" w:after="40"/>
              <w:jc w:val="center"/>
              <w:rPr>
                <w:smallCaps/>
              </w:rPr>
            </w:pPr>
            <w:r>
              <w:rPr>
                <w:smallCaps/>
                <w:lang w:val="fr-FR"/>
              </w:rPr>
              <w:t>mis</w:t>
            </w:r>
          </w:p>
          <w:p w:rsidR="00303F8D" w:rsidRDefault="0095216F">
            <w:pPr>
              <w:pBdr>
                <w:top w:val="nil"/>
                <w:left w:val="nil"/>
                <w:bottom w:val="nil"/>
                <w:right w:val="nil"/>
                <w:between w:val="nil"/>
              </w:pBdr>
              <w:spacing w:before="40" w:after="40"/>
              <w:jc w:val="center"/>
              <w:rPr>
                <w:smallCaps/>
              </w:rPr>
            </w:pPr>
            <w:r>
              <w:rPr>
                <w:smallCaps/>
                <w:lang w:val="fr-FR"/>
              </w:rPr>
              <w:t>année</w:t>
            </w:r>
          </w:p>
        </w:tc>
        <w:tc>
          <w:tcPr>
            <w:tcW w:w="811" w:type="dxa"/>
            <w:tcBorders>
              <w:top w:val="nil"/>
              <w:left w:val="single" w:sz="6" w:space="0" w:color="A6A6A6"/>
              <w:bottom w:val="single" w:sz="6" w:space="0" w:color="A6A6A6"/>
              <w:right w:val="single" w:sz="4" w:space="0" w:color="A6A6A6"/>
            </w:tcBorders>
            <w:shd w:val="clear" w:color="auto" w:fill="EDEDED"/>
          </w:tcPr>
          <w:p w:rsidR="00303F8D" w:rsidRDefault="0095216F">
            <w:pPr>
              <w:pBdr>
                <w:top w:val="nil"/>
                <w:left w:val="nil"/>
                <w:bottom w:val="nil"/>
                <w:right w:val="nil"/>
                <w:between w:val="nil"/>
              </w:pBdr>
              <w:spacing w:before="40" w:after="40"/>
              <w:jc w:val="center"/>
              <w:rPr>
                <w:smallCaps/>
              </w:rPr>
            </w:pPr>
            <w:proofErr w:type="spellStart"/>
            <w:r>
              <w:rPr>
                <w:smallCaps/>
                <w:lang w:val="fr-FR"/>
              </w:rPr>
              <w:t>dhs</w:t>
            </w:r>
            <w:proofErr w:type="spellEnd"/>
          </w:p>
          <w:p w:rsidR="00303F8D" w:rsidRDefault="0095216F">
            <w:pPr>
              <w:pBdr>
                <w:top w:val="nil"/>
                <w:left w:val="nil"/>
                <w:bottom w:val="nil"/>
                <w:right w:val="nil"/>
                <w:between w:val="nil"/>
              </w:pBdr>
              <w:spacing w:before="40" w:after="40"/>
              <w:jc w:val="center"/>
              <w:rPr>
                <w:smallCaps/>
              </w:rPr>
            </w:pPr>
            <w:r>
              <w:rPr>
                <w:smallCaps/>
                <w:lang w:val="fr-FR"/>
              </w:rPr>
              <w:t>année</w:t>
            </w:r>
          </w:p>
        </w:tc>
        <w:tc>
          <w:tcPr>
            <w:tcW w:w="811" w:type="dxa"/>
            <w:tcBorders>
              <w:top w:val="nil"/>
              <w:left w:val="single" w:sz="6" w:space="0" w:color="A6A6A6"/>
              <w:bottom w:val="single" w:sz="6" w:space="0" w:color="A6A6A6"/>
              <w:right w:val="single" w:sz="4" w:space="0" w:color="A6A6A6"/>
            </w:tcBorders>
            <w:shd w:val="clear" w:color="auto" w:fill="EDEDED"/>
          </w:tcPr>
          <w:p w:rsidR="00303F8D" w:rsidRDefault="0095216F">
            <w:pPr>
              <w:pBdr>
                <w:top w:val="nil"/>
                <w:left w:val="nil"/>
                <w:bottom w:val="nil"/>
                <w:right w:val="nil"/>
                <w:between w:val="nil"/>
              </w:pBdr>
              <w:spacing w:before="40" w:after="40"/>
              <w:jc w:val="center"/>
              <w:rPr>
                <w:smallCaps/>
              </w:rPr>
            </w:pPr>
            <w:proofErr w:type="spellStart"/>
            <w:r>
              <w:rPr>
                <w:smallCaps/>
                <w:lang w:val="fr-FR"/>
              </w:rPr>
              <w:t>mbs</w:t>
            </w:r>
            <w:proofErr w:type="spellEnd"/>
          </w:p>
          <w:p w:rsidR="00303F8D" w:rsidRDefault="0095216F">
            <w:pPr>
              <w:pBdr>
                <w:top w:val="nil"/>
                <w:left w:val="nil"/>
                <w:bottom w:val="nil"/>
                <w:right w:val="nil"/>
                <w:between w:val="nil"/>
              </w:pBdr>
              <w:spacing w:before="40" w:after="40"/>
              <w:jc w:val="center"/>
              <w:rPr>
                <w:smallCaps/>
              </w:rPr>
            </w:pPr>
            <w:r>
              <w:rPr>
                <w:smallCaps/>
                <w:lang w:val="fr-FR"/>
              </w:rPr>
              <w:t>année</w:t>
            </w:r>
          </w:p>
        </w:tc>
      </w:tr>
      <w:tr w:rsidR="00303F8D" w:rsidRPr="00DA22A8">
        <w:tc>
          <w:tcPr>
            <w:tcW w:w="9350" w:type="dxa"/>
            <w:gridSpan w:val="5"/>
            <w:tcBorders>
              <w:top w:val="single" w:sz="6" w:space="0" w:color="A6A6A6"/>
              <w:left w:val="single" w:sz="4" w:space="0" w:color="A6A6A6"/>
              <w:bottom w:val="single" w:sz="6" w:space="0" w:color="A6A6A6"/>
              <w:right w:val="single" w:sz="4" w:space="0" w:color="A6A6A6"/>
            </w:tcBorders>
          </w:tcPr>
          <w:p w:rsidR="00303F8D" w:rsidRPr="00A57861" w:rsidRDefault="0095216F">
            <w:pPr>
              <w:pBdr>
                <w:top w:val="nil"/>
                <w:left w:val="nil"/>
                <w:bottom w:val="nil"/>
                <w:right w:val="nil"/>
                <w:between w:val="nil"/>
              </w:pBdr>
              <w:spacing w:before="40" w:after="40"/>
              <w:jc w:val="center"/>
              <w:rPr>
                <w:b/>
                <w:lang w:val="fr-FR"/>
              </w:rPr>
            </w:pPr>
            <w:r>
              <w:rPr>
                <w:b/>
                <w:lang w:val="fr-FR"/>
              </w:rPr>
              <w:t xml:space="preserve">Comportements </w:t>
            </w:r>
          </w:p>
          <w:p w:rsidR="00303F8D" w:rsidRPr="00A57861" w:rsidRDefault="0095216F">
            <w:pPr>
              <w:pBdr>
                <w:top w:val="nil"/>
                <w:left w:val="nil"/>
                <w:bottom w:val="nil"/>
                <w:right w:val="nil"/>
                <w:between w:val="nil"/>
              </w:pBdr>
              <w:spacing w:before="40" w:after="40"/>
              <w:jc w:val="center"/>
              <w:rPr>
                <w:lang w:val="fr-FR"/>
              </w:rPr>
            </w:pPr>
            <w:r>
              <w:rPr>
                <w:lang w:val="fr-FR"/>
              </w:rPr>
              <w:t>(insérer ces indicateurs dans les polygones d</w:t>
            </w:r>
            <w:r w:rsidR="00A57861">
              <w:rPr>
                <w:lang w:val="fr-FR"/>
              </w:rPr>
              <w:t>’</w:t>
            </w:r>
            <w:r>
              <w:rPr>
                <w:u w:val="single"/>
                <w:lang w:val="fr-FR"/>
              </w:rPr>
              <w:t>analyse de la situation</w:t>
            </w:r>
            <w:r>
              <w:rPr>
                <w:lang w:val="fr-FR"/>
              </w:rPr>
              <w:t xml:space="preserve"> dans le</w:t>
            </w:r>
            <w:hyperlink r:id="rId15" w:history="1">
              <w:r>
                <w:rPr>
                  <w:color w:val="1155CC"/>
                  <w:u w:val="single"/>
                  <w:lang w:val="fr-FR"/>
                </w:rPr>
                <w:t xml:space="preserve"> récit sur l</w:t>
              </w:r>
              <w:r w:rsidR="00A57861">
                <w:rPr>
                  <w:color w:val="1155CC"/>
                  <w:u w:val="single"/>
                  <w:lang w:val="fr-FR"/>
                </w:rPr>
                <w:t>’</w:t>
              </w:r>
              <w:r>
                <w:rPr>
                  <w:color w:val="1155CC"/>
                  <w:u w:val="single"/>
                  <w:lang w:val="fr-FR"/>
                </w:rPr>
                <w:t>utilisation des MII avec des fiches de données</w:t>
              </w:r>
            </w:hyperlink>
            <w:r>
              <w:rPr>
                <w:lang w:val="fr-FR"/>
              </w:rPr>
              <w:t xml:space="preserve"> - diapositive 4)</w:t>
            </w: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tous les membres du ménage ayant accès à une moustiquaire (une moustiquaire pour deux personnes) qui ont dormi sous une MII la nuit précédente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tous les membres du ménage ayant dormi sous une MII la nuit précédente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w:t>
            </w:r>
            <w:r w:rsidR="00A57861">
              <w:rPr>
                <w:lang w:val="fr-FR"/>
              </w:rPr>
              <w:t>’</w:t>
            </w:r>
            <w:r>
              <w:rPr>
                <w:lang w:val="fr-FR"/>
              </w:rPr>
              <w:t>enfants de moins de cinq ans ayant dormi sous une MII la nuit précédente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des femmes de 15 à 49 ans ayant dormi sous une MII la nuit précédant l</w:t>
            </w:r>
            <w:r w:rsidR="00A57861">
              <w:rPr>
                <w:lang w:val="fr-FR"/>
              </w:rPr>
              <w:t>’</w:t>
            </w:r>
            <w:r>
              <w:rPr>
                <w:lang w:val="fr-FR"/>
              </w:rPr>
              <w:t>enquête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tous les membres du ménage qui dorment sous une MII chaque nuit</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MII trouvées suspendues et pliées ou attachées lorsqu</w:t>
            </w:r>
            <w:r w:rsidR="00A57861">
              <w:rPr>
                <w:lang w:val="fr-FR"/>
              </w:rPr>
              <w:t>’</w:t>
            </w:r>
            <w:r>
              <w:rPr>
                <w:lang w:val="fr-FR"/>
              </w:rPr>
              <w:t>elles ne sont pas utilisées</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des personnes int</w:t>
            </w:r>
            <w:r w:rsidR="00A57861">
              <w:rPr>
                <w:lang w:val="fr-FR"/>
              </w:rPr>
              <w:t>e</w:t>
            </w:r>
            <w:r>
              <w:rPr>
                <w:lang w:val="fr-FR"/>
              </w:rPr>
              <w:t>rrogées qui lavent leurs MII au maximum quatre fois par an</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lastRenderedPageBreak/>
              <w:t>Proportion de personnes int</w:t>
            </w:r>
            <w:r w:rsidR="00A57861">
              <w:rPr>
                <w:lang w:val="fr-FR"/>
              </w:rPr>
              <w:t>e</w:t>
            </w:r>
            <w:r>
              <w:rPr>
                <w:lang w:val="fr-FR"/>
              </w:rPr>
              <w:t>rrogées qui ont lavé leurs MII une fois au cours de l</w:t>
            </w:r>
            <w:r w:rsidR="00A57861">
              <w:rPr>
                <w:lang w:val="fr-FR"/>
              </w:rPr>
              <w:t>’</w:t>
            </w:r>
            <w:r>
              <w:rPr>
                <w:lang w:val="fr-FR"/>
              </w:rPr>
              <w:t>année écoulée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ont lavé leurs MII avec de la poudre, du savon liquide, du savon en barre, de l</w:t>
            </w:r>
            <w:r w:rsidR="00A57861">
              <w:rPr>
                <w:lang w:val="fr-FR"/>
              </w:rPr>
              <w:t>’</w:t>
            </w:r>
            <w:r>
              <w:rPr>
                <w:lang w:val="fr-FR"/>
              </w:rPr>
              <w:t>eau de javel ou de l</w:t>
            </w:r>
            <w:r w:rsidR="00A57861">
              <w:rPr>
                <w:lang w:val="fr-FR"/>
              </w:rPr>
              <w:t>’</w:t>
            </w:r>
            <w:r>
              <w:rPr>
                <w:lang w:val="fr-FR"/>
              </w:rPr>
              <w:t>eau simple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font sécher leurs MII au soleil ou à l</w:t>
            </w:r>
            <w:r w:rsidR="00A57861">
              <w:rPr>
                <w:lang w:val="fr-FR"/>
              </w:rPr>
              <w:t>’</w:t>
            </w:r>
            <w:r>
              <w:rPr>
                <w:lang w:val="fr-FR"/>
              </w:rPr>
              <w:t>ombre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6094"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des personnes interrogées ayant dormi sous une MII lors d</w:t>
            </w:r>
            <w:r w:rsidR="00A57861">
              <w:rPr>
                <w:lang w:val="fr-FR"/>
              </w:rPr>
              <w:t>’</w:t>
            </w:r>
            <w:r>
              <w:rPr>
                <w:lang w:val="fr-FR"/>
              </w:rPr>
              <w:t>un voyage</w:t>
            </w:r>
          </w:p>
        </w:tc>
        <w:tc>
          <w:tcPr>
            <w:tcW w:w="823"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811"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bl>
    <w:p w:rsidR="00303F8D" w:rsidRPr="00A57861" w:rsidRDefault="0095216F">
      <w:pPr>
        <w:rPr>
          <w:lang w:val="fr-FR"/>
        </w:rPr>
      </w:pPr>
      <w:r w:rsidRPr="00A57861">
        <w:rPr>
          <w:lang w:val="fr-FR"/>
        </w:rPr>
        <w:br w:type="page"/>
      </w:r>
    </w:p>
    <w:tbl>
      <w:tblPr>
        <w:tblStyle w:val="Table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6"/>
        <w:gridCol w:w="1216"/>
        <w:gridCol w:w="1216"/>
        <w:gridCol w:w="1216"/>
        <w:gridCol w:w="1216"/>
      </w:tblGrid>
      <w:tr w:rsidR="00303F8D" w:rsidRPr="00DA22A8">
        <w:tc>
          <w:tcPr>
            <w:tcW w:w="9350" w:type="dxa"/>
            <w:gridSpan w:val="5"/>
            <w:tcBorders>
              <w:top w:val="single" w:sz="6" w:space="0" w:color="A6A6A6"/>
              <w:left w:val="single" w:sz="4" w:space="0" w:color="A6A6A6"/>
              <w:bottom w:val="single" w:sz="6" w:space="0" w:color="A6A6A6"/>
              <w:right w:val="single" w:sz="4" w:space="0" w:color="A6A6A6"/>
            </w:tcBorders>
          </w:tcPr>
          <w:p w:rsidR="00303F8D" w:rsidRPr="00A57861" w:rsidRDefault="0095216F">
            <w:pPr>
              <w:pBdr>
                <w:top w:val="nil"/>
                <w:left w:val="nil"/>
                <w:bottom w:val="nil"/>
                <w:right w:val="nil"/>
                <w:between w:val="nil"/>
              </w:pBdr>
              <w:spacing w:before="40" w:after="40"/>
              <w:jc w:val="center"/>
              <w:rPr>
                <w:b/>
                <w:lang w:val="fr-FR"/>
              </w:rPr>
            </w:pPr>
            <w:r>
              <w:rPr>
                <w:b/>
                <w:lang w:val="fr-FR"/>
              </w:rPr>
              <w:lastRenderedPageBreak/>
              <w:t xml:space="preserve">Déterminants du comportement </w:t>
            </w:r>
          </w:p>
          <w:p w:rsidR="00303F8D" w:rsidRPr="00A57861" w:rsidRDefault="0095216F">
            <w:pPr>
              <w:pBdr>
                <w:top w:val="nil"/>
                <w:left w:val="nil"/>
                <w:bottom w:val="nil"/>
                <w:right w:val="nil"/>
                <w:between w:val="nil"/>
              </w:pBdr>
              <w:spacing w:before="40" w:after="40"/>
              <w:jc w:val="center"/>
              <w:rPr>
                <w:lang w:val="fr-FR"/>
              </w:rPr>
            </w:pPr>
            <w:r>
              <w:rPr>
                <w:lang w:val="fr-FR"/>
              </w:rPr>
              <w:t>(insérez ces indicateurs dans les polygones d</w:t>
            </w:r>
            <w:r w:rsidR="00A57861">
              <w:rPr>
                <w:lang w:val="fr-FR"/>
              </w:rPr>
              <w:t>’</w:t>
            </w:r>
            <w:r>
              <w:rPr>
                <w:u w:val="single"/>
                <w:lang w:val="fr-FR"/>
              </w:rPr>
              <w:t>analyse du comportement</w:t>
            </w:r>
            <w:r>
              <w:rPr>
                <w:lang w:val="fr-FR"/>
              </w:rPr>
              <w:t xml:space="preserve"> dans le </w:t>
            </w:r>
            <w:hyperlink r:id="rId16" w:history="1">
              <w:r>
                <w:rPr>
                  <w:color w:val="1155CC"/>
                  <w:u w:val="single"/>
                  <w:lang w:val="fr-FR"/>
                </w:rPr>
                <w:t>récit d</w:t>
              </w:r>
              <w:r w:rsidR="00A57861">
                <w:rPr>
                  <w:color w:val="1155CC"/>
                  <w:u w:val="single"/>
                  <w:lang w:val="fr-FR"/>
                </w:rPr>
                <w:t>’</w:t>
              </w:r>
              <w:r>
                <w:rPr>
                  <w:color w:val="1155CC"/>
                  <w:u w:val="single"/>
                  <w:lang w:val="fr-FR"/>
                </w:rPr>
                <w:t xml:space="preserve">utilisation des MII avec la fiche de données </w:t>
              </w:r>
            </w:hyperlink>
            <w:r>
              <w:rPr>
                <w:lang w:val="fr-FR"/>
              </w:rPr>
              <w:t>- diapositives 15 et 16)</w:t>
            </w:r>
          </w:p>
        </w:tc>
      </w:tr>
      <w:tr w:rsidR="00303F8D">
        <w:tc>
          <w:tcPr>
            <w:tcW w:w="4486" w:type="dxa"/>
            <w:tcBorders>
              <w:top w:val="nil"/>
              <w:left w:val="single" w:sz="4" w:space="0" w:color="A6A6A6"/>
              <w:bottom w:val="single" w:sz="6" w:space="0" w:color="A6A6A6"/>
              <w:right w:val="single" w:sz="6" w:space="0" w:color="A6A6A6"/>
            </w:tcBorders>
            <w:shd w:val="clear" w:color="auto" w:fill="EDEDED"/>
          </w:tcPr>
          <w:p w:rsidR="00303F8D" w:rsidRDefault="0095216F">
            <w:pPr>
              <w:spacing w:before="40" w:after="40"/>
              <w:rPr>
                <w:smallCaps/>
              </w:rPr>
            </w:pPr>
            <w:r>
              <w:rPr>
                <w:smallCaps/>
                <w:lang w:val="fr-FR"/>
              </w:rPr>
              <w:t>Indicateur</w:t>
            </w:r>
          </w:p>
        </w:tc>
        <w:tc>
          <w:tcPr>
            <w:tcW w:w="1216" w:type="dxa"/>
            <w:tcBorders>
              <w:top w:val="nil"/>
              <w:left w:val="single" w:sz="6" w:space="0" w:color="A6A6A6"/>
              <w:bottom w:val="single" w:sz="6" w:space="0" w:color="A6A6A6"/>
              <w:right w:val="single" w:sz="6" w:space="0" w:color="A6A6A6"/>
            </w:tcBorders>
            <w:shd w:val="clear" w:color="auto" w:fill="EDEDED"/>
          </w:tcPr>
          <w:p w:rsidR="00303F8D" w:rsidRDefault="0095216F">
            <w:pPr>
              <w:spacing w:before="40" w:after="40"/>
              <w:jc w:val="center"/>
              <w:rPr>
                <w:smallCaps/>
              </w:rPr>
            </w:pPr>
            <w:r>
              <w:rPr>
                <w:smallCaps/>
                <w:lang w:val="fr-FR"/>
              </w:rPr>
              <w:t xml:space="preserve">année </w:t>
            </w:r>
            <w:proofErr w:type="spellStart"/>
            <w:r>
              <w:rPr>
                <w:smallCaps/>
                <w:lang w:val="fr-FR"/>
              </w:rPr>
              <w:t>kap</w:t>
            </w:r>
            <w:proofErr w:type="spellEnd"/>
          </w:p>
          <w:p w:rsidR="00303F8D" w:rsidRDefault="0095216F">
            <w:pPr>
              <w:spacing w:before="40" w:after="40"/>
              <w:jc w:val="center"/>
              <w:rPr>
                <w:smallCaps/>
              </w:rPr>
            </w:pPr>
            <w:r>
              <w:rPr>
                <w:smallCaps/>
                <w:lang w:val="fr-FR"/>
              </w:rPr>
              <w:t>lieu</w:t>
            </w:r>
          </w:p>
        </w:tc>
        <w:tc>
          <w:tcPr>
            <w:tcW w:w="1216" w:type="dxa"/>
            <w:tcBorders>
              <w:top w:val="nil"/>
              <w:left w:val="single" w:sz="6" w:space="0" w:color="A6A6A6"/>
              <w:bottom w:val="single" w:sz="6" w:space="0" w:color="A6A6A6"/>
              <w:right w:val="single" w:sz="4" w:space="0" w:color="A6A6A6"/>
            </w:tcBorders>
            <w:shd w:val="clear" w:color="auto" w:fill="EDEDED"/>
          </w:tcPr>
          <w:p w:rsidR="00303F8D" w:rsidRDefault="0095216F">
            <w:pPr>
              <w:spacing w:before="40" w:after="40"/>
              <w:jc w:val="center"/>
              <w:rPr>
                <w:smallCaps/>
              </w:rPr>
            </w:pPr>
            <w:r>
              <w:rPr>
                <w:smallCaps/>
                <w:lang w:val="fr-FR"/>
              </w:rPr>
              <w:t xml:space="preserve">année </w:t>
            </w:r>
            <w:proofErr w:type="spellStart"/>
            <w:r>
              <w:rPr>
                <w:smallCaps/>
                <w:lang w:val="fr-FR"/>
              </w:rPr>
              <w:t>kap</w:t>
            </w:r>
            <w:proofErr w:type="spellEnd"/>
          </w:p>
          <w:p w:rsidR="00303F8D" w:rsidRDefault="0095216F">
            <w:pPr>
              <w:spacing w:before="40" w:after="40"/>
              <w:jc w:val="center"/>
              <w:rPr>
                <w:smallCaps/>
              </w:rPr>
            </w:pPr>
            <w:r>
              <w:rPr>
                <w:smallCaps/>
                <w:lang w:val="fr-FR"/>
              </w:rPr>
              <w:t>lieu</w:t>
            </w:r>
          </w:p>
        </w:tc>
        <w:tc>
          <w:tcPr>
            <w:tcW w:w="1216" w:type="dxa"/>
            <w:tcBorders>
              <w:top w:val="nil"/>
              <w:left w:val="single" w:sz="6" w:space="0" w:color="A6A6A6"/>
              <w:bottom w:val="single" w:sz="6" w:space="0" w:color="A6A6A6"/>
              <w:right w:val="single" w:sz="4" w:space="0" w:color="A6A6A6"/>
            </w:tcBorders>
            <w:shd w:val="clear" w:color="auto" w:fill="EDEDED"/>
          </w:tcPr>
          <w:p w:rsidR="00303F8D" w:rsidRDefault="0095216F">
            <w:pPr>
              <w:spacing w:before="40" w:after="40"/>
              <w:jc w:val="center"/>
              <w:rPr>
                <w:smallCaps/>
              </w:rPr>
            </w:pPr>
            <w:r>
              <w:rPr>
                <w:smallCaps/>
                <w:lang w:val="fr-FR"/>
              </w:rPr>
              <w:t xml:space="preserve">année </w:t>
            </w:r>
            <w:proofErr w:type="spellStart"/>
            <w:r>
              <w:rPr>
                <w:smallCaps/>
                <w:lang w:val="fr-FR"/>
              </w:rPr>
              <w:t>kap</w:t>
            </w:r>
            <w:proofErr w:type="spellEnd"/>
          </w:p>
          <w:p w:rsidR="00303F8D" w:rsidRDefault="0095216F">
            <w:pPr>
              <w:spacing w:before="40" w:after="40"/>
              <w:jc w:val="center"/>
              <w:rPr>
                <w:smallCaps/>
              </w:rPr>
            </w:pPr>
            <w:r>
              <w:rPr>
                <w:smallCaps/>
                <w:lang w:val="fr-FR"/>
              </w:rPr>
              <w:t>lieu</w:t>
            </w:r>
          </w:p>
        </w:tc>
        <w:tc>
          <w:tcPr>
            <w:tcW w:w="1216" w:type="dxa"/>
            <w:tcBorders>
              <w:top w:val="nil"/>
              <w:left w:val="single" w:sz="6" w:space="0" w:color="A6A6A6"/>
              <w:bottom w:val="single" w:sz="6" w:space="0" w:color="A6A6A6"/>
              <w:right w:val="single" w:sz="4" w:space="0" w:color="A6A6A6"/>
            </w:tcBorders>
            <w:shd w:val="clear" w:color="auto" w:fill="EDEDED"/>
          </w:tcPr>
          <w:p w:rsidR="00303F8D" w:rsidRDefault="0095216F">
            <w:pPr>
              <w:spacing w:before="40" w:after="40"/>
              <w:jc w:val="center"/>
              <w:rPr>
                <w:smallCaps/>
              </w:rPr>
            </w:pPr>
            <w:r>
              <w:rPr>
                <w:smallCaps/>
                <w:lang w:val="fr-FR"/>
              </w:rPr>
              <w:t>année-</w:t>
            </w:r>
            <w:proofErr w:type="spellStart"/>
            <w:r>
              <w:rPr>
                <w:smallCaps/>
                <w:lang w:val="fr-FR"/>
              </w:rPr>
              <w:t>mbs</w:t>
            </w:r>
            <w:proofErr w:type="spellEnd"/>
          </w:p>
          <w:p w:rsidR="00303F8D" w:rsidRDefault="0095216F">
            <w:pPr>
              <w:spacing w:before="40" w:after="40"/>
              <w:jc w:val="center"/>
              <w:rPr>
                <w:smallCaps/>
              </w:rPr>
            </w:pPr>
            <w:r>
              <w:rPr>
                <w:smallCaps/>
                <w:lang w:val="fr-FR"/>
              </w:rPr>
              <w:t>lieu</w:t>
            </w:r>
          </w:p>
        </w:tc>
      </w:tr>
      <w:tr w:rsidR="00303F8D">
        <w:trPr>
          <w:trHeight w:val="220"/>
        </w:trPr>
        <w:tc>
          <w:tcPr>
            <w:tcW w:w="9350" w:type="dxa"/>
            <w:gridSpan w:val="5"/>
            <w:tcBorders>
              <w:top w:val="single" w:sz="6" w:space="0" w:color="A6A6A6"/>
              <w:left w:val="single" w:sz="4" w:space="0" w:color="A6A6A6"/>
              <w:bottom w:val="single" w:sz="6" w:space="0" w:color="A6A6A6"/>
              <w:right w:val="single" w:sz="6" w:space="0" w:color="A6A6A6"/>
            </w:tcBorders>
          </w:tcPr>
          <w:p w:rsidR="00303F8D" w:rsidRDefault="0095216F">
            <w:pPr>
              <w:pBdr>
                <w:top w:val="nil"/>
                <w:left w:val="nil"/>
                <w:bottom w:val="nil"/>
                <w:right w:val="nil"/>
                <w:between w:val="nil"/>
              </w:pBdr>
              <w:spacing w:before="40" w:after="40"/>
              <w:rPr>
                <w:b/>
              </w:rPr>
            </w:pPr>
            <w:r>
              <w:rPr>
                <w:b/>
                <w:lang w:val="fr-FR"/>
              </w:rPr>
              <w:t>Accès</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dont le ménage a accès à une MII (voir le ratio utilisation/accès)</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jc w:val="center"/>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jc w:val="center"/>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jc w:val="center"/>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jc w:val="center"/>
              <w:rPr>
                <w:lang w:val="fr-FR"/>
              </w:rPr>
            </w:pPr>
          </w:p>
        </w:tc>
      </w:tr>
      <w:tr w:rsidR="00303F8D">
        <w:tc>
          <w:tcPr>
            <w:tcW w:w="9350" w:type="dxa"/>
            <w:gridSpan w:val="5"/>
            <w:tcBorders>
              <w:top w:val="single" w:sz="6" w:space="0" w:color="A6A6A6"/>
              <w:left w:val="single" w:sz="4" w:space="0" w:color="A6A6A6"/>
              <w:bottom w:val="single" w:sz="6" w:space="0" w:color="A6A6A6"/>
              <w:right w:val="single" w:sz="4" w:space="0" w:color="A6A6A6"/>
            </w:tcBorders>
          </w:tcPr>
          <w:p w:rsidR="00303F8D" w:rsidRDefault="0095216F">
            <w:pPr>
              <w:pBdr>
                <w:top w:val="nil"/>
                <w:left w:val="nil"/>
                <w:bottom w:val="nil"/>
                <w:right w:val="nil"/>
                <w:between w:val="nil"/>
              </w:pBdr>
              <w:spacing w:before="40" w:after="40"/>
              <w:rPr>
                <w:b/>
              </w:rPr>
            </w:pPr>
            <w:r>
              <w:rPr>
                <w:b/>
                <w:lang w:val="fr-FR"/>
              </w:rPr>
              <w:t>Connaissances</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savent que le paludisme est transmis par les moustiques</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savent qu</w:t>
            </w:r>
            <w:r w:rsidR="00A57861">
              <w:rPr>
                <w:lang w:val="fr-FR"/>
              </w:rPr>
              <w:t>’</w:t>
            </w:r>
            <w:r>
              <w:rPr>
                <w:lang w:val="fr-FR"/>
              </w:rPr>
              <w:t>une MII est une méthode de prévention du paludisme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9350" w:type="dxa"/>
            <w:gridSpan w:val="5"/>
            <w:tcBorders>
              <w:top w:val="single" w:sz="6" w:space="0" w:color="A6A6A6"/>
              <w:left w:val="single" w:sz="4" w:space="0" w:color="A6A6A6"/>
              <w:bottom w:val="single" w:sz="6" w:space="0" w:color="A6A6A6"/>
              <w:right w:val="single" w:sz="4" w:space="0" w:color="A6A6A6"/>
            </w:tcBorders>
          </w:tcPr>
          <w:p w:rsidR="00303F8D" w:rsidRPr="00A57861" w:rsidRDefault="0095216F">
            <w:pPr>
              <w:pBdr>
                <w:top w:val="nil"/>
                <w:left w:val="nil"/>
                <w:bottom w:val="nil"/>
                <w:right w:val="nil"/>
                <w:between w:val="nil"/>
              </w:pBdr>
              <w:spacing w:before="40" w:after="40"/>
              <w:rPr>
                <w:b/>
                <w:lang w:val="fr-FR"/>
              </w:rPr>
            </w:pPr>
            <w:r>
              <w:rPr>
                <w:b/>
                <w:lang w:val="fr-FR"/>
              </w:rPr>
              <w:t>Attitudes à l</w:t>
            </w:r>
            <w:r w:rsidR="00A57861">
              <w:rPr>
                <w:b/>
                <w:lang w:val="fr-FR"/>
              </w:rPr>
              <w:t>’</w:t>
            </w:r>
            <w:r>
              <w:rPr>
                <w:b/>
                <w:lang w:val="fr-FR"/>
              </w:rPr>
              <w:t>égard des MII</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ayant une attitude favorable à l</w:t>
            </w:r>
            <w:r w:rsidR="00A57861">
              <w:rPr>
                <w:lang w:val="fr-FR"/>
              </w:rPr>
              <w:t>’</w:t>
            </w:r>
            <w:r>
              <w:rPr>
                <w:lang w:val="fr-FR"/>
              </w:rPr>
              <w:t>utilisation des MII</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pensent que dormir sous une MII permet d</w:t>
            </w:r>
            <w:r w:rsidR="00A57861">
              <w:rPr>
                <w:lang w:val="fr-FR"/>
              </w:rPr>
              <w:t>’</w:t>
            </w:r>
            <w:r>
              <w:rPr>
                <w:lang w:val="fr-FR"/>
              </w:rPr>
              <w:t>avoir une bonne nuit de sommeil</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pensent que les MII sont faciles à utiliser</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pensent que l</w:t>
            </w:r>
            <w:r w:rsidR="00A57861">
              <w:rPr>
                <w:lang w:val="fr-FR"/>
              </w:rPr>
              <w:t>’</w:t>
            </w:r>
            <w:r>
              <w:rPr>
                <w:lang w:val="fr-FR"/>
              </w:rPr>
              <w:t>utilisation des MII est sûre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trouvent que dormir sous une MII est inconfortable quand il fait chaud</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sont mal à l</w:t>
            </w:r>
            <w:r w:rsidR="00A57861">
              <w:rPr>
                <w:lang w:val="fr-FR"/>
              </w:rPr>
              <w:t>’</w:t>
            </w:r>
            <w:r>
              <w:rPr>
                <w:lang w:val="fr-FR"/>
              </w:rPr>
              <w:t>aise avec l</w:t>
            </w:r>
            <w:r w:rsidR="00A57861">
              <w:rPr>
                <w:lang w:val="fr-FR"/>
              </w:rPr>
              <w:t>’</w:t>
            </w:r>
            <w:r>
              <w:rPr>
                <w:lang w:val="fr-FR"/>
              </w:rPr>
              <w:t>odeur de l</w:t>
            </w:r>
            <w:r w:rsidR="00A57861">
              <w:rPr>
                <w:lang w:val="fr-FR"/>
              </w:rPr>
              <w:t>’</w:t>
            </w:r>
            <w:r>
              <w:rPr>
                <w:lang w:val="fr-FR"/>
              </w:rPr>
              <w:t>insecticide sur une MII</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estiment que les MII plus coûteuses sont plus efficaces que les moustiquaires moins chères ou gratuites</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tc>
          <w:tcPr>
            <w:tcW w:w="9350" w:type="dxa"/>
            <w:gridSpan w:val="5"/>
            <w:tcBorders>
              <w:top w:val="single" w:sz="6" w:space="0" w:color="A6A6A6"/>
              <w:left w:val="single" w:sz="4" w:space="0" w:color="A6A6A6"/>
              <w:bottom w:val="single" w:sz="6" w:space="0" w:color="A6A6A6"/>
              <w:right w:val="single" w:sz="4" w:space="0" w:color="A6A6A6"/>
            </w:tcBorders>
          </w:tcPr>
          <w:p w:rsidR="00303F8D" w:rsidRDefault="0095216F">
            <w:pPr>
              <w:pBdr>
                <w:top w:val="nil"/>
                <w:left w:val="nil"/>
                <w:bottom w:val="nil"/>
                <w:right w:val="nil"/>
                <w:between w:val="nil"/>
              </w:pBdr>
              <w:spacing w:before="40" w:after="40"/>
              <w:rPr>
                <w:b/>
              </w:rPr>
            </w:pPr>
            <w:r>
              <w:rPr>
                <w:b/>
                <w:lang w:val="fr-FR"/>
              </w:rPr>
              <w:t>Entretien des MII</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estiment que des mesures peuvent être prises pour entretenir une MII</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9350" w:type="dxa"/>
            <w:gridSpan w:val="5"/>
            <w:tcBorders>
              <w:top w:val="single" w:sz="6" w:space="0" w:color="A6A6A6"/>
              <w:left w:val="single" w:sz="4" w:space="0" w:color="A6A6A6"/>
              <w:bottom w:val="single" w:sz="6" w:space="0" w:color="A6A6A6"/>
              <w:right w:val="single" w:sz="4" w:space="0" w:color="A6A6A6"/>
            </w:tcBorders>
          </w:tcPr>
          <w:p w:rsidR="00303F8D" w:rsidRPr="00A57861" w:rsidRDefault="0095216F">
            <w:pPr>
              <w:pBdr>
                <w:top w:val="nil"/>
                <w:left w:val="nil"/>
                <w:bottom w:val="nil"/>
                <w:right w:val="nil"/>
                <w:between w:val="nil"/>
              </w:pBdr>
              <w:spacing w:before="40" w:after="40"/>
              <w:rPr>
                <w:b/>
                <w:lang w:val="fr-FR"/>
              </w:rPr>
            </w:pPr>
            <w:r>
              <w:rPr>
                <w:b/>
                <w:lang w:val="fr-FR"/>
              </w:rPr>
              <w:t>Efficacité de la réponse par les MII</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lastRenderedPageBreak/>
              <w:t>Proportion de personnes interrogées qui pensent que dormir sous une MII chaque nuit est le meilleur moyen d</w:t>
            </w:r>
            <w:r w:rsidR="00A57861">
              <w:rPr>
                <w:lang w:val="fr-FR"/>
              </w:rPr>
              <w:t>’</w:t>
            </w:r>
            <w:r>
              <w:rPr>
                <w:lang w:val="fr-FR"/>
              </w:rPr>
              <w:t>éviter le paludisme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pensent que de nombreuses personnes qui dorment sous une MII attrapent encore le paludisme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pensent que la probabilité d</w:t>
            </w:r>
            <w:r w:rsidR="00A57861">
              <w:rPr>
                <w:lang w:val="fr-FR"/>
              </w:rPr>
              <w:t>’</w:t>
            </w:r>
            <w:r>
              <w:rPr>
                <w:lang w:val="fr-FR"/>
              </w:rPr>
              <w:t>avoir le paludisme est la même, qu</w:t>
            </w:r>
            <w:r w:rsidR="00A57861">
              <w:rPr>
                <w:lang w:val="fr-FR"/>
              </w:rPr>
              <w:t>’</w:t>
            </w:r>
            <w:r>
              <w:rPr>
                <w:lang w:val="fr-FR"/>
              </w:rPr>
              <w:t xml:space="preserve">elles dorment sous une MII ou non </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9350" w:type="dxa"/>
            <w:gridSpan w:val="5"/>
            <w:tcBorders>
              <w:top w:val="single" w:sz="6" w:space="0" w:color="A6A6A6"/>
              <w:left w:val="single" w:sz="4" w:space="0" w:color="A6A6A6"/>
              <w:bottom w:val="single" w:sz="6" w:space="0" w:color="A6A6A6"/>
              <w:right w:val="single" w:sz="4" w:space="0" w:color="A6A6A6"/>
            </w:tcBorders>
          </w:tcPr>
          <w:p w:rsidR="00303F8D" w:rsidRPr="00A57861" w:rsidRDefault="0095216F">
            <w:pPr>
              <w:pBdr>
                <w:top w:val="nil"/>
                <w:left w:val="nil"/>
                <w:bottom w:val="nil"/>
                <w:right w:val="nil"/>
                <w:between w:val="nil"/>
              </w:pBdr>
              <w:spacing w:before="40" w:after="40"/>
              <w:rPr>
                <w:b/>
                <w:lang w:val="fr-FR"/>
              </w:rPr>
            </w:pPr>
            <w:r>
              <w:rPr>
                <w:b/>
                <w:lang w:val="fr-FR"/>
              </w:rPr>
              <w:t>Auto-efficacité de l</w:t>
            </w:r>
            <w:r w:rsidR="00A57861">
              <w:rPr>
                <w:b/>
                <w:lang w:val="fr-FR"/>
              </w:rPr>
              <w:t>’</w:t>
            </w:r>
            <w:r>
              <w:rPr>
                <w:b/>
                <w:lang w:val="fr-FR"/>
              </w:rPr>
              <w:t>utilisation des MII</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estiment pouvoir dormir toute la nuit sous une MII lorsqu</w:t>
            </w:r>
            <w:r w:rsidR="00A57861">
              <w:rPr>
                <w:lang w:val="fr-FR"/>
              </w:rPr>
              <w:t>’</w:t>
            </w:r>
            <w:r>
              <w:rPr>
                <w:lang w:val="fr-FR"/>
              </w:rPr>
              <w:t>il y a beaucoup de moustiques</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w:t>
            </w:r>
            <w:r w:rsidR="00A57861">
              <w:rPr>
                <w:lang w:val="fr-FR"/>
              </w:rPr>
              <w:t>e</w:t>
            </w:r>
            <w:r>
              <w:rPr>
                <w:lang w:val="fr-FR"/>
              </w:rPr>
              <w:t>rrogées qui estiment pouvoir dormir toute la nuit sous une MII même s</w:t>
            </w:r>
            <w:r w:rsidR="00A57861">
              <w:rPr>
                <w:lang w:val="fr-FR"/>
              </w:rPr>
              <w:t>’</w:t>
            </w:r>
            <w:r>
              <w:rPr>
                <w:lang w:val="fr-FR"/>
              </w:rPr>
              <w:t>il y a peu de moustiques</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 personnes interrogées qui estiment pouvoir faire en sorte que tous leurs enfants dorment sous une moustiquaire chaque nuit de l</w:t>
            </w:r>
            <w:r w:rsidR="00A57861">
              <w:rPr>
                <w:lang w:val="fr-FR"/>
              </w:rPr>
              <w:t>’</w:t>
            </w:r>
            <w:r>
              <w:rPr>
                <w:lang w:val="fr-FR"/>
              </w:rPr>
              <w:t>année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9350" w:type="dxa"/>
            <w:gridSpan w:val="5"/>
            <w:tcBorders>
              <w:top w:val="single" w:sz="6" w:space="0" w:color="A6A6A6"/>
              <w:left w:val="single" w:sz="4" w:space="0" w:color="A6A6A6"/>
              <w:bottom w:val="single" w:sz="6" w:space="0" w:color="A6A6A6"/>
              <w:right w:val="single" w:sz="4" w:space="0" w:color="A6A6A6"/>
            </w:tcBorders>
          </w:tcPr>
          <w:p w:rsidR="00303F8D" w:rsidRPr="00A57861" w:rsidRDefault="0095216F">
            <w:pPr>
              <w:pBdr>
                <w:top w:val="nil"/>
                <w:left w:val="nil"/>
                <w:bottom w:val="nil"/>
                <w:right w:val="nil"/>
                <w:between w:val="nil"/>
              </w:pBdr>
              <w:spacing w:before="40" w:after="40"/>
              <w:rPr>
                <w:b/>
                <w:lang w:val="fr-FR"/>
              </w:rPr>
            </w:pPr>
            <w:r>
              <w:rPr>
                <w:b/>
                <w:lang w:val="fr-FR"/>
              </w:rPr>
              <w:t>Normes perçues concernant les MII</w:t>
            </w: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des membres des ménages qui estiment qu</w:t>
            </w:r>
            <w:r w:rsidR="00A57861">
              <w:rPr>
                <w:lang w:val="fr-FR"/>
              </w:rPr>
              <w:t>’</w:t>
            </w:r>
            <w:r>
              <w:rPr>
                <w:lang w:val="fr-FR"/>
              </w:rPr>
              <w:t>au moins la moitié des membres de leur communauté ont dormi sous une MII la nuit précédente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r w:rsidR="00303F8D" w:rsidRPr="00DA22A8">
        <w:tc>
          <w:tcPr>
            <w:tcW w:w="4486" w:type="dxa"/>
            <w:tcBorders>
              <w:top w:val="single" w:sz="6" w:space="0" w:color="A6A6A6"/>
              <w:left w:val="single" w:sz="4" w:space="0" w:color="A6A6A6"/>
              <w:bottom w:val="single" w:sz="6" w:space="0" w:color="A6A6A6"/>
              <w:right w:val="single" w:sz="6" w:space="0" w:color="A6A6A6"/>
            </w:tcBorders>
          </w:tcPr>
          <w:p w:rsidR="00303F8D" w:rsidRPr="00A57861" w:rsidRDefault="0095216F">
            <w:pPr>
              <w:pBdr>
                <w:top w:val="nil"/>
                <w:left w:val="nil"/>
                <w:bottom w:val="nil"/>
                <w:right w:val="nil"/>
                <w:between w:val="nil"/>
              </w:pBdr>
              <w:spacing w:before="40" w:after="40"/>
              <w:rPr>
                <w:lang w:val="fr-FR"/>
              </w:rPr>
            </w:pPr>
            <w:r>
              <w:rPr>
                <w:lang w:val="fr-FR"/>
              </w:rPr>
              <w:t>Proportion des membres des ménages qui pensent que la plupart des ménages de leur communauté attachent leur moustiquaire lorsqu</w:t>
            </w:r>
            <w:r w:rsidR="00A57861">
              <w:rPr>
                <w:lang w:val="fr-FR"/>
              </w:rPr>
              <w:t>’</w:t>
            </w:r>
            <w:r>
              <w:rPr>
                <w:lang w:val="fr-FR"/>
              </w:rPr>
              <w:t>elle n</w:t>
            </w:r>
            <w:r w:rsidR="00A57861">
              <w:rPr>
                <w:lang w:val="fr-FR"/>
              </w:rPr>
              <w:t>’</w:t>
            </w:r>
            <w:r>
              <w:rPr>
                <w:lang w:val="fr-FR"/>
              </w:rPr>
              <w:t>est pas utilisée</w:t>
            </w:r>
          </w:p>
        </w:tc>
        <w:tc>
          <w:tcPr>
            <w:tcW w:w="1216" w:type="dxa"/>
            <w:tcBorders>
              <w:top w:val="single" w:sz="6" w:space="0" w:color="A6A6A6"/>
              <w:left w:val="single" w:sz="6" w:space="0" w:color="A6A6A6"/>
              <w:bottom w:val="single" w:sz="6" w:space="0" w:color="A6A6A6"/>
              <w:right w:val="single" w:sz="6"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303F8D" w:rsidRPr="00A57861" w:rsidRDefault="00303F8D">
            <w:pPr>
              <w:pBdr>
                <w:top w:val="nil"/>
                <w:left w:val="nil"/>
                <w:bottom w:val="nil"/>
                <w:right w:val="nil"/>
                <w:between w:val="nil"/>
              </w:pBdr>
              <w:spacing w:before="40" w:after="40"/>
              <w:rPr>
                <w:lang w:val="fr-FR"/>
              </w:rPr>
            </w:pPr>
          </w:p>
        </w:tc>
      </w:tr>
    </w:tbl>
    <w:p w:rsidR="00303F8D" w:rsidRPr="00A57861" w:rsidRDefault="00303F8D">
      <w:pPr>
        <w:rPr>
          <w:lang w:val="fr-FR"/>
        </w:rPr>
      </w:pPr>
    </w:p>
    <w:p w:rsidR="00303F8D" w:rsidRPr="00A57861" w:rsidRDefault="0095216F">
      <w:pPr>
        <w:rPr>
          <w:lang w:val="fr-FR"/>
        </w:rPr>
      </w:pPr>
      <w:r>
        <w:rPr>
          <w:lang w:val="fr-FR"/>
        </w:rPr>
        <w:t xml:space="preserve">Cette ressource fait partie de la </w:t>
      </w:r>
      <w:hyperlink r:id="rId17" w:history="1">
        <w:r>
          <w:rPr>
            <w:color w:val="1155CC"/>
            <w:u w:val="single"/>
            <w:lang w:val="fr-FR"/>
          </w:rPr>
          <w:t>boîte à outils pour le développement de la stratégie de CSC en matière de paludisme</w:t>
        </w:r>
      </w:hyperlink>
    </w:p>
    <w:sectPr w:rsidR="00303F8D" w:rsidRPr="00A57861">
      <w:footerReference w:type="first" r:id="rId18"/>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FC" w:rsidRDefault="00A24FFC">
      <w:pPr>
        <w:spacing w:after="0" w:line="240" w:lineRule="auto"/>
      </w:pPr>
      <w:r>
        <w:separator/>
      </w:r>
    </w:p>
  </w:endnote>
  <w:endnote w:type="continuationSeparator" w:id="0">
    <w:p w:rsidR="00A24FFC" w:rsidRDefault="00A2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61" w:rsidRDefault="00A5786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8D" w:rsidRPr="00A57861" w:rsidRDefault="0095216F">
    <w:pPr>
      <w:pBdr>
        <w:top w:val="nil"/>
        <w:left w:val="nil"/>
        <w:bottom w:val="nil"/>
        <w:right w:val="nil"/>
        <w:between w:val="nil"/>
      </w:pBdr>
      <w:tabs>
        <w:tab w:val="center" w:pos="4680"/>
        <w:tab w:val="right" w:pos="9360"/>
      </w:tabs>
      <w:spacing w:after="0" w:line="240" w:lineRule="auto"/>
      <w:rPr>
        <w:lang w:val="fr-FR"/>
      </w:rPr>
    </w:pPr>
    <w:r>
      <w:rPr>
        <w:lang w:val="fr-FR"/>
      </w:rPr>
      <w:t>Synthèse des données sur les changements sociaux et comportementaux : utilisation des MII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8D" w:rsidRDefault="0095216F">
    <w:pPr>
      <w:pBdr>
        <w:top w:val="nil"/>
        <w:left w:val="nil"/>
        <w:bottom w:val="nil"/>
        <w:right w:val="nil"/>
        <w:between w:val="nil"/>
      </w:pBdr>
      <w:tabs>
        <w:tab w:val="center" w:pos="4680"/>
        <w:tab w:val="right" w:pos="9360"/>
      </w:tabs>
      <w:spacing w:after="0" w:line="240" w:lineRule="auto"/>
    </w:pPr>
    <w:r>
      <w:rPr>
        <w:lang w:val="fr-FR"/>
      </w:rPr>
      <w:t>[Titre du document]</w:t>
    </w:r>
    <w:r>
      <w:rPr>
        <w:lang w:val="fr-FR"/>
      </w:rPr>
      <w:tab/>
      <w:t xml:space="preserve">| </w:t>
    </w:r>
    <w:r>
      <w:rPr>
        <w:lang w:val="fr-FR"/>
      </w:rPr>
      <w:fldChar w:fldCharType="begin"/>
    </w:r>
    <w:r>
      <w:rPr>
        <w:lang w:val="fr-FR"/>
      </w:rPr>
      <w:instrText>PAGE</w:instrText>
    </w:r>
    <w:r>
      <w:rPr>
        <w:lang w:val="fr-F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8D" w:rsidRPr="00A57861" w:rsidRDefault="0095216F">
    <w:pPr>
      <w:pBdr>
        <w:top w:val="nil"/>
        <w:left w:val="nil"/>
        <w:bottom w:val="nil"/>
        <w:right w:val="nil"/>
        <w:between w:val="nil"/>
      </w:pBdr>
      <w:tabs>
        <w:tab w:val="center" w:pos="4680"/>
        <w:tab w:val="right" w:pos="9360"/>
      </w:tabs>
      <w:spacing w:after="0" w:line="240" w:lineRule="auto"/>
      <w:rPr>
        <w:lang w:val="fr-FR"/>
      </w:rPr>
    </w:pPr>
    <w:r>
      <w:rPr>
        <w:lang w:val="fr-FR"/>
      </w:rPr>
      <w:t>Synthèse des données sur les changements sociaux et comportementaux : utilisation des MII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FC" w:rsidRDefault="00A24FFC">
      <w:pPr>
        <w:spacing w:after="0" w:line="240" w:lineRule="auto"/>
      </w:pPr>
      <w:r>
        <w:separator/>
      </w:r>
    </w:p>
  </w:footnote>
  <w:footnote w:type="continuationSeparator" w:id="0">
    <w:p w:rsidR="00A24FFC" w:rsidRDefault="00A2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61" w:rsidRDefault="00A5786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61" w:rsidRDefault="00A5786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61" w:rsidRDefault="00A5786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8D"/>
    <w:rsid w:val="00303F8D"/>
    <w:rsid w:val="0095216F"/>
    <w:rsid w:val="00A24FFC"/>
    <w:rsid w:val="00A57861"/>
    <w:rsid w:val="00DA2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EE67"/>
  <w15:docId w15:val="{3D1EC1F2-2939-49AA-BFC5-4B1F0144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545454"/>
        <w:sz w:val="22"/>
        <w:szCs w:val="22"/>
        <w:highlight w:val="white"/>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240" w:after="0"/>
      <w:outlineLvl w:val="0"/>
    </w:pPr>
    <w:rPr>
      <w:color w:val="1F3864"/>
      <w:sz w:val="32"/>
      <w:szCs w:val="32"/>
    </w:rPr>
  </w:style>
  <w:style w:type="paragraph" w:styleId="Titre2">
    <w:name w:val="heading 2"/>
    <w:basedOn w:val="Normal"/>
    <w:next w:val="Normal"/>
    <w:pPr>
      <w:keepNext/>
      <w:keepLines/>
      <w:spacing w:before="40" w:after="0"/>
      <w:outlineLvl w:val="1"/>
    </w:pPr>
    <w:rPr>
      <w:color w:val="1F3864"/>
      <w:sz w:val="26"/>
      <w:szCs w:val="26"/>
    </w:rPr>
  </w:style>
  <w:style w:type="paragraph" w:styleId="Titre3">
    <w:name w:val="heading 3"/>
    <w:basedOn w:val="Normal"/>
    <w:next w:val="Normal"/>
    <w:pPr>
      <w:keepNext/>
      <w:keepLines/>
      <w:spacing w:before="40" w:after="0"/>
      <w:outlineLvl w:val="2"/>
    </w:pPr>
    <w:rPr>
      <w:color w:val="1F3864"/>
      <w:sz w:val="24"/>
      <w:szCs w:val="24"/>
    </w:rPr>
  </w:style>
  <w:style w:type="paragraph" w:styleId="Titre4">
    <w:name w:val="heading 4"/>
    <w:basedOn w:val="Normal"/>
    <w:next w:val="Normal"/>
    <w:pPr>
      <w:keepNext/>
      <w:keepLines/>
      <w:spacing w:before="40" w:after="0"/>
      <w:outlineLvl w:val="3"/>
    </w:pPr>
    <w:rPr>
      <w:i/>
      <w:color w:val="1F386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auNormal"/>
    <w:pPr>
      <w:spacing w:after="0" w:line="240" w:lineRule="auto"/>
    </w:pPr>
    <w:tblPr>
      <w:tblStyleRowBandSize w:val="1"/>
      <w:tblStyleColBandSize w:val="1"/>
    </w:tblPr>
  </w:style>
  <w:style w:type="table" w:customStyle="1" w:styleId="Table2">
    <w:name w:val="Table2"/>
    <w:basedOn w:val="TableauNormal"/>
    <w:pPr>
      <w:spacing w:after="0" w:line="240" w:lineRule="auto"/>
    </w:pPr>
    <w:tblPr>
      <w:tblStyleRowBandSize w:val="1"/>
      <w:tblStyleColBandSize w:val="1"/>
    </w:tblPr>
  </w:style>
  <w:style w:type="paragraph" w:styleId="En-tte">
    <w:name w:val="header"/>
    <w:basedOn w:val="Normal"/>
    <w:link w:val="En-tteCar"/>
    <w:uiPriority w:val="99"/>
    <w:unhideWhenUsed/>
    <w:rsid w:val="00A57861"/>
    <w:pPr>
      <w:tabs>
        <w:tab w:val="center" w:pos="4536"/>
        <w:tab w:val="right" w:pos="9072"/>
      </w:tabs>
      <w:spacing w:after="0" w:line="240" w:lineRule="auto"/>
    </w:pPr>
  </w:style>
  <w:style w:type="character" w:customStyle="1" w:styleId="En-tteCar">
    <w:name w:val="En-tête Car"/>
    <w:basedOn w:val="Policepardfaut"/>
    <w:link w:val="En-tte"/>
    <w:uiPriority w:val="99"/>
    <w:rsid w:val="00A57861"/>
  </w:style>
  <w:style w:type="paragraph" w:styleId="Pieddepage">
    <w:name w:val="footer"/>
    <w:basedOn w:val="Normal"/>
    <w:link w:val="PieddepageCar"/>
    <w:uiPriority w:val="99"/>
    <w:unhideWhenUsed/>
    <w:rsid w:val="00A578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dmalaria.org/sites/default/files/National-Malaria-SBC-Strategy-Guidance-2020-EN_0.pdf" TargetMode="Externa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rive.google.com/drive/folders/1paJiNjmiHdVtfI25BZSCfpk1HV61ygcL?usp=sharing" TargetMode="External"/><Relationship Id="rId2" Type="http://schemas.openxmlformats.org/officeDocument/2006/relationships/settings" Target="settings.xml"/><Relationship Id="rId16" Type="http://schemas.openxmlformats.org/officeDocument/2006/relationships/hyperlink" Target="https://docs.google.com/presentation/d/1i9Vy5CcgtmFE2MC1MKY7lmTzUS1FyXvlIPSLINgkuhg/edit?usp=shar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cs.google.com/presentation/d/1i9Vy5CcgtmFE2MC1MKY7lmTzUS1FyXvlIPSLINgkuhg/edit?usp=sharing"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endmalaria.org/sites/default/files/National-Malaria-SBC-Strategy-Template-2020-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985</Words>
  <Characters>5423</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2020-11-06T23:47:00Z</dcterms:created>
  <dcterms:modified xsi:type="dcterms:W3CDTF">2020-11-06T23:52:00Z</dcterms:modified>
</cp:coreProperties>
</file>