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1B" w:rsidRPr="000A0ED7" w:rsidRDefault="00453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72"/>
          <w:szCs w:val="72"/>
          <w:highlight w:val="white"/>
          <w:lang w:val="pt-PT"/>
        </w:rPr>
      </w:pPr>
      <w:bookmarkStart w:id="0" w:name="_GoBack"/>
      <w:bookmarkEnd w:id="0"/>
      <w:r w:rsidRPr="000A0ED7">
        <w:rPr>
          <w:b/>
          <w:sz w:val="72"/>
          <w:szCs w:val="72"/>
          <w:highlight w:val="white"/>
          <w:lang w:val="pt-PT"/>
        </w:rPr>
        <w:t>Pacote de desenvolvimento estratégico nacional de Mudança Social e Comportamental da malária</w:t>
      </w:r>
    </w:p>
    <w:p w:rsidR="00826B1B" w:rsidRPr="000A0ED7" w:rsidRDefault="00826B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pt-PT"/>
        </w:rPr>
      </w:pPr>
    </w:p>
    <w:p w:rsidR="00826B1B" w:rsidRPr="000A0ED7" w:rsidRDefault="0045337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pt-PT"/>
        </w:rPr>
      </w:pPr>
      <w:r w:rsidRPr="000A0ED7">
        <w:rPr>
          <w:b/>
          <w:sz w:val="54"/>
          <w:szCs w:val="54"/>
          <w:highlight w:val="white"/>
          <w:lang w:val="pt-PT"/>
        </w:rPr>
        <w:t>Instruções</w:t>
      </w:r>
    </w:p>
    <w:p w:rsidR="00826B1B" w:rsidRPr="000A0ED7" w:rsidRDefault="00453376">
      <w:pPr>
        <w:rPr>
          <w:lang w:val="pt-PT"/>
        </w:rPr>
      </w:pPr>
      <w:r w:rsidRPr="000A0ED7">
        <w:rPr>
          <w:b/>
          <w:lang w:val="pt-PT"/>
        </w:rPr>
        <w:t xml:space="preserve">Como utilizar estas instruções: </w:t>
      </w:r>
      <w:r w:rsidRPr="000A0ED7">
        <w:rPr>
          <w:lang w:val="pt-PT"/>
        </w:rPr>
        <w:t xml:space="preserve">Utilize os seguintes passos para preencher o </w:t>
      </w:r>
      <w:hyperlink r:id="rId8" w:history="1">
        <w:r w:rsidRPr="000A0ED7">
          <w:rPr>
            <w:color w:val="1155CC"/>
            <w:u w:val="single"/>
            <w:lang w:val="pt-PT"/>
          </w:rPr>
          <w:t>Modelo Nacional de Malária da Mudança Social e Comportamental</w:t>
        </w:r>
      </w:hyperlink>
      <w:r w:rsidRPr="000A0ED7">
        <w:rPr>
          <w:lang w:val="pt-PT"/>
        </w:rPr>
        <w:t xml:space="preserve"> (utilize o </w:t>
      </w:r>
      <w:hyperlink r:id="rId9" w:history="1">
        <w:r w:rsidRPr="000A0ED7">
          <w:rPr>
            <w:color w:val="1155CC"/>
            <w:u w:val="single"/>
            <w:lang w:val="pt-PT"/>
          </w:rPr>
          <w:t xml:space="preserve">documento de orientação </w:t>
        </w:r>
      </w:hyperlink>
      <w:r w:rsidRPr="000A0ED7">
        <w:rPr>
          <w:lang w:val="pt-PT"/>
        </w:rPr>
        <w:t>que o acompanha para exemplos e amostras de conteúdo). Rever o modelo estratégico e o documento de orientação que o acompanha antes de explorar os recursos deste pacote. Uma compreensão clara dos</w:t>
      </w:r>
      <w:r w:rsidRPr="000A0ED7">
        <w:rPr>
          <w:lang w:val="pt-PT"/>
        </w:rPr>
        <w:t xml:space="preserve"> elementos essenciais da estratégia ajudará os utilizadores a compreenderem a utilidade dos resumos de dados e a fazerem um relato com as folhas de trabalho de dados contidas neste pacote. </w:t>
      </w:r>
    </w:p>
    <w:p w:rsidR="00826B1B" w:rsidRPr="000A0ED7" w:rsidRDefault="00453376">
      <w:pPr>
        <w:pStyle w:val="Heading4"/>
        <w:rPr>
          <w:lang w:val="pt-PT"/>
        </w:rPr>
      </w:pPr>
      <w:bookmarkStart w:id="1" w:name="_5bztpbdiehoo" w:colFirst="0" w:colLast="0"/>
      <w:bookmarkEnd w:id="1"/>
      <w:r w:rsidRPr="000A0ED7">
        <w:rPr>
          <w:lang w:val="pt-PT"/>
        </w:rPr>
        <w:t>Estes recursos complementam a Parceria Fazer Recuar a Malária para</w:t>
      </w:r>
      <w:r w:rsidRPr="000A0ED7">
        <w:rPr>
          <w:lang w:val="pt-PT"/>
        </w:rPr>
        <w:t xml:space="preserve"> Acabar com a Malária do Grupo de Trabalho da Mudança Social e Comportamental para o Modelo de Estratégia e Orientação da Malária</w:t>
      </w: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826B1B">
      <w:pPr>
        <w:rPr>
          <w:sz w:val="18"/>
          <w:szCs w:val="18"/>
          <w:lang w:val="pt-PT"/>
        </w:rPr>
      </w:pPr>
    </w:p>
    <w:p w:rsidR="00826B1B" w:rsidRPr="000A0ED7" w:rsidRDefault="00453376">
      <w:pPr>
        <w:rPr>
          <w:sz w:val="18"/>
          <w:szCs w:val="18"/>
          <w:lang w:val="pt-PT"/>
        </w:rPr>
      </w:pPr>
      <w:r w:rsidRPr="000A0ED7">
        <w:rPr>
          <w:sz w:val="18"/>
          <w:szCs w:val="18"/>
          <w:lang w:val="pt-PT"/>
        </w:rPr>
        <w:lastRenderedPageBreak/>
        <w:t xml:space="preserve">O desenvolvimento deste modelo foi possível graças à Agência dos EUA para o Desenvolvimento Internacional (USAID) e </w:t>
      </w:r>
      <w:r w:rsidRPr="000A0ED7">
        <w:rPr>
          <w:sz w:val="18"/>
          <w:szCs w:val="18"/>
          <w:lang w:val="pt-PT"/>
        </w:rPr>
        <w:t>à Iniciativa contra a Malária do Presidente dos EUA, nos termos do Acordo de Cooperação nº. AID-OAA-A-17-00017 do projeto Breakthrough ACTION.</w:t>
      </w:r>
    </w:p>
    <w:p w:rsidR="00826B1B" w:rsidRPr="000A0ED7" w:rsidRDefault="00453376">
      <w:pPr>
        <w:pStyle w:val="Title"/>
        <w:rPr>
          <w:b/>
          <w:lang w:val="pt-PT"/>
        </w:rPr>
      </w:pPr>
      <w:r w:rsidRPr="000A0ED7">
        <w:rPr>
          <w:lang w:val="pt-PT"/>
        </w:rPr>
        <w:t>Guia do utilizador para o desenvolvimento de uma estratégia de mudança social e comportamental em relação à malár</w:t>
      </w:r>
      <w:r w:rsidRPr="000A0ED7">
        <w:rPr>
          <w:lang w:val="pt-PT"/>
        </w:rPr>
        <w:t>ia</w:t>
      </w:r>
    </w:p>
    <w:p w:rsidR="00826B1B" w:rsidRPr="000A0ED7" w:rsidRDefault="00453376">
      <w:pPr>
        <w:pStyle w:val="Heading3"/>
        <w:rPr>
          <w:lang w:val="pt-PT"/>
        </w:rPr>
      </w:pPr>
      <w:bookmarkStart w:id="2" w:name="_b1sgc6jkfe7c" w:colFirst="0" w:colLast="0"/>
      <w:bookmarkEnd w:id="2"/>
      <w:r w:rsidRPr="000A0ED7">
        <w:rPr>
          <w:lang w:val="pt-PT"/>
        </w:rPr>
        <w:t>Organização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 xml:space="preserve">Esta </w:t>
      </w:r>
      <w:hyperlink r:id="rId10" w:history="1">
        <w:r w:rsidRPr="000A0ED7">
          <w:rPr>
            <w:color w:val="1155CC"/>
            <w:u w:val="single"/>
            <w:lang w:val="pt-PT"/>
          </w:rPr>
          <w:t>pasta do Google Drive</w:t>
        </w:r>
      </w:hyperlink>
      <w:r w:rsidRPr="000A0ED7">
        <w:rPr>
          <w:lang w:val="pt-PT"/>
        </w:rPr>
        <w:t xml:space="preserve"> irá ajudá-lo a organizar, desenvolver em colaboração e recolher elementos de uma estratégia de Mudança Social e Comportamental da malária em sessões de trabalho de pequenos grupos. Para utilizar estes recursos, terá de:</w:t>
      </w:r>
    </w:p>
    <w:p w:rsidR="00826B1B" w:rsidRPr="000A0ED7" w:rsidRDefault="00453376">
      <w:pPr>
        <w:numPr>
          <w:ilvl w:val="0"/>
          <w:numId w:val="3"/>
        </w:numPr>
        <w:spacing w:after="0"/>
        <w:rPr>
          <w:lang w:val="pt-PT"/>
        </w:rPr>
      </w:pPr>
      <w:r w:rsidRPr="000A0ED7">
        <w:rPr>
          <w:lang w:val="pt-PT"/>
        </w:rPr>
        <w:t>Duplicar a pasta para poder fazer a</w:t>
      </w:r>
      <w:r w:rsidRPr="000A0ED7">
        <w:rPr>
          <w:lang w:val="pt-PT"/>
        </w:rPr>
        <w:t>lterações na sua própria cópia. Isto exigirá uma conta de email Gmail ativa.</w:t>
      </w:r>
    </w:p>
    <w:p w:rsidR="00826B1B" w:rsidRPr="000A0ED7" w:rsidRDefault="00453376">
      <w:pPr>
        <w:numPr>
          <w:ilvl w:val="0"/>
          <w:numId w:val="3"/>
        </w:numPr>
        <w:spacing w:after="0"/>
        <w:rPr>
          <w:lang w:val="pt-PT"/>
        </w:rPr>
      </w:pPr>
      <w:r w:rsidRPr="000A0ED7">
        <w:rPr>
          <w:lang w:val="pt-PT"/>
        </w:rPr>
        <w:t xml:space="preserve">Partilhe o acesso à sua pasta apenas com indivíduos do retiro de escrita: não partilhe o acesso antes do início do retiro de escrita. </w:t>
      </w:r>
    </w:p>
    <w:p w:rsidR="00826B1B" w:rsidRPr="000A0ED7" w:rsidRDefault="00453376">
      <w:pPr>
        <w:numPr>
          <w:ilvl w:val="0"/>
          <w:numId w:val="3"/>
        </w:numPr>
        <w:rPr>
          <w:lang w:val="pt-PT"/>
        </w:rPr>
      </w:pPr>
      <w:r w:rsidRPr="000A0ED7">
        <w:rPr>
          <w:lang w:val="pt-PT"/>
        </w:rPr>
        <w:t>Convocar pelo menos uma sessão em que os rec</w:t>
      </w:r>
      <w:r w:rsidRPr="000A0ED7">
        <w:rPr>
          <w:lang w:val="pt-PT"/>
        </w:rPr>
        <w:t>ursos incluídos nesta pasta, tais como termos de referência, processo e recursos, sejam discutidos em pormenor com o Programa Nacional de Controlo da Malária. Aproveite esta oportunidade para designar quem se juntará a cada reunião de pequenos grupos de pa</w:t>
      </w:r>
      <w:r w:rsidRPr="000A0ED7">
        <w:rPr>
          <w:lang w:val="pt-PT"/>
        </w:rPr>
        <w:t xml:space="preserve">rtes interessadas e a cada pequeno grupo de retiro de escrita (utilização de mosquiteiros tratados com inseticida, malária na gravidez, gestão de casos). 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Os resumos de dados e os relatos das folhas de trabalho com dados podem ser utilizados para desenvolv</w:t>
      </w:r>
      <w:r w:rsidRPr="000A0ED7">
        <w:rPr>
          <w:lang w:val="pt-PT"/>
        </w:rPr>
        <w:t>er a narrativa da estratégia. A ordem e utilidade de cada uma delas é ilustrada abaixo. Os diapositivos no final dos relatos das folhas de trabalho com dados contêm tabelas onde os elementos estratégicos podem ser formulados. As narrativas desenvolvidas ne</w:t>
      </w:r>
      <w:r w:rsidRPr="000A0ED7">
        <w:rPr>
          <w:lang w:val="pt-PT"/>
        </w:rPr>
        <w:t xml:space="preserve">stas tabelas devem então ser copiadas diretamente para as secções correspondentes do </w:t>
      </w:r>
      <w:hyperlink r:id="rId11" w:history="1">
        <w:r w:rsidRPr="000A0ED7">
          <w:rPr>
            <w:color w:val="1155CC"/>
            <w:u w:val="single"/>
            <w:lang w:val="pt-PT"/>
          </w:rPr>
          <w:t>modelo estratégico</w:t>
        </w:r>
      </w:hyperlink>
      <w:r w:rsidRPr="000A0ED7">
        <w:rPr>
          <w:lang w:val="pt-PT"/>
        </w:rPr>
        <w:t xml:space="preserve">. O documento de </w:t>
      </w:r>
      <w:hyperlink r:id="rId12" w:history="1">
        <w:r w:rsidRPr="000A0ED7">
          <w:rPr>
            <w:color w:val="1155CC"/>
            <w:u w:val="single"/>
            <w:lang w:val="pt-PT"/>
          </w:rPr>
          <w:t>orientação estratégica</w:t>
        </w:r>
      </w:hyperlink>
      <w:r w:rsidRPr="000A0ED7">
        <w:rPr>
          <w:lang w:val="pt-PT"/>
        </w:rPr>
        <w:t xml:space="preserve"> contém exemplos de como isto pode ser feito. </w:t>
      </w:r>
    </w:p>
    <w:p w:rsidR="00826B1B" w:rsidRPr="000A0ED7" w:rsidRDefault="00453376">
      <w:pPr>
        <w:jc w:val="center"/>
        <w:rPr>
          <w:lang w:val="pt-PT"/>
        </w:rPr>
      </w:pPr>
      <w:r w:rsidRPr="000A0ED7">
        <w:rPr>
          <w:lang w:val="pt-PT" w:eastAsia="pt-PT"/>
        </w:rPr>
        <w:drawing>
          <wp:inline distT="114300" distB="114300" distL="114300" distR="114300" wp14:anchorId="23C0C6EF" wp14:editId="359C89D4">
            <wp:extent cx="5943600" cy="1270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67977" name="image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1B" w:rsidRPr="000A0ED7" w:rsidRDefault="00453376">
      <w:pPr>
        <w:pStyle w:val="Heading3"/>
        <w:rPr>
          <w:lang w:val="pt-PT"/>
        </w:rPr>
      </w:pPr>
      <w:bookmarkStart w:id="3" w:name="_1uwur4t5iapp" w:colFirst="0" w:colLast="0"/>
      <w:bookmarkEnd w:id="3"/>
      <w:r w:rsidRPr="000A0ED7">
        <w:rPr>
          <w:b/>
          <w:lang w:val="pt-PT"/>
        </w:rPr>
        <w:lastRenderedPageBreak/>
        <w:t>Processo de desenvolvimento estratégico</w:t>
      </w:r>
      <w:r w:rsidRPr="000A0ED7">
        <w:rPr>
          <w:lang w:val="pt-PT"/>
        </w:rPr>
        <w:t>: (três etapas)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 xml:space="preserve">Este conjunto de ferramentas de desenvolvimento estratégico baseia-se numa abordagem em três etapas: </w:t>
      </w:r>
    </w:p>
    <w:p w:rsidR="00826B1B" w:rsidRPr="000A0ED7" w:rsidRDefault="00453376">
      <w:pPr>
        <w:numPr>
          <w:ilvl w:val="0"/>
          <w:numId w:val="4"/>
        </w:numPr>
        <w:spacing w:after="0"/>
        <w:rPr>
          <w:lang w:val="pt-PT"/>
        </w:rPr>
      </w:pPr>
      <w:r w:rsidRPr="000A0ED7">
        <w:rPr>
          <w:lang w:val="pt-PT"/>
        </w:rPr>
        <w:t xml:space="preserve">Uma reunião inclusiva, de três dias, com as </w:t>
      </w:r>
      <w:hyperlink r:id="rId14" w:history="1">
        <w:r w:rsidRPr="000A0ED7">
          <w:rPr>
            <w:b/>
            <w:color w:val="1155CC"/>
            <w:u w:val="single"/>
            <w:lang w:val="pt-PT"/>
          </w:rPr>
          <w:t>partes in</w:t>
        </w:r>
        <w:r w:rsidRPr="000A0ED7">
          <w:rPr>
            <w:b/>
            <w:color w:val="1155CC"/>
            <w:u w:val="single"/>
            <w:lang w:val="pt-PT"/>
          </w:rPr>
          <w:t>teressadas</w:t>
        </w:r>
      </w:hyperlink>
      <w:r w:rsidRPr="000A0ED7">
        <w:rPr>
          <w:lang w:val="pt-PT"/>
        </w:rPr>
        <w:t xml:space="preserve"> que estabelece prioridades e focos abrangentes; </w:t>
      </w:r>
    </w:p>
    <w:p w:rsidR="00826B1B" w:rsidRPr="000A0ED7" w:rsidRDefault="00453376">
      <w:pPr>
        <w:numPr>
          <w:ilvl w:val="0"/>
          <w:numId w:val="4"/>
        </w:numPr>
        <w:spacing w:after="0"/>
        <w:rPr>
          <w:lang w:val="pt-PT"/>
        </w:rPr>
      </w:pPr>
      <w:r w:rsidRPr="000A0ED7">
        <w:rPr>
          <w:lang w:val="pt-PT"/>
        </w:rPr>
        <w:t xml:space="preserve">a própria estratégia é redigida ao longo de um </w:t>
      </w:r>
      <w:hyperlink r:id="rId15" w:history="1">
        <w:r w:rsidRPr="000A0ED7">
          <w:rPr>
            <w:b/>
            <w:color w:val="1155CC"/>
            <w:u w:val="single"/>
            <w:lang w:val="pt-PT"/>
          </w:rPr>
          <w:t>retiro de escrita residencial</w:t>
        </w:r>
      </w:hyperlink>
      <w:r w:rsidRPr="000A0ED7">
        <w:rPr>
          <w:lang w:val="pt-PT"/>
        </w:rPr>
        <w:t xml:space="preserve"> de quatro dias; </w:t>
      </w:r>
    </w:p>
    <w:p w:rsidR="00826B1B" w:rsidRPr="000A0ED7" w:rsidRDefault="00453376">
      <w:pPr>
        <w:numPr>
          <w:ilvl w:val="0"/>
          <w:numId w:val="4"/>
        </w:numPr>
        <w:rPr>
          <w:lang w:val="pt-PT"/>
        </w:rPr>
      </w:pPr>
      <w:r w:rsidRPr="000A0ED7">
        <w:rPr>
          <w:lang w:val="pt-PT"/>
        </w:rPr>
        <w:t>u</w:t>
      </w:r>
      <w:r w:rsidRPr="000A0ED7">
        <w:rPr>
          <w:lang w:val="pt-PT"/>
        </w:rPr>
        <w:t xml:space="preserve">m processo de circulação de um rascunho e a realização de uma </w:t>
      </w:r>
      <w:hyperlink r:id="rId16" w:history="1">
        <w:r w:rsidRPr="000A0ED7">
          <w:rPr>
            <w:b/>
            <w:color w:val="1155CC"/>
            <w:u w:val="single"/>
            <w:lang w:val="pt-PT"/>
          </w:rPr>
          <w:t>reunião de validação da estratégia</w:t>
        </w:r>
      </w:hyperlink>
      <w:r w:rsidRPr="000A0ED7">
        <w:rPr>
          <w:lang w:val="pt-PT"/>
        </w:rPr>
        <w:t xml:space="preserve"> finaliza o documento. 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 xml:space="preserve">Cada etapa do processo </w:t>
      </w:r>
      <w:r w:rsidRPr="000A0ED7">
        <w:rPr>
          <w:lang w:val="pt-PT"/>
        </w:rPr>
        <w:t xml:space="preserve">depende de uma cuidadosa organização, síntese e utilização dos </w:t>
      </w:r>
      <w:hyperlink r:id="rId17" w:history="1">
        <w:r w:rsidRPr="000A0ED7">
          <w:rPr>
            <w:b/>
            <w:color w:val="1155CC"/>
            <w:u w:val="single"/>
            <w:lang w:val="pt-PT"/>
          </w:rPr>
          <w:t>dados disponíveis</w:t>
        </w:r>
      </w:hyperlink>
      <w:r w:rsidRPr="000A0ED7">
        <w:rPr>
          <w:lang w:val="pt-PT"/>
        </w:rPr>
        <w:t xml:space="preserve">. </w:t>
      </w:r>
    </w:p>
    <w:p w:rsidR="00826B1B" w:rsidRPr="000A0ED7" w:rsidRDefault="00453376">
      <w:pPr>
        <w:rPr>
          <w:lang w:val="pt-PT"/>
        </w:rPr>
      </w:pPr>
      <w:r w:rsidRPr="000A0ED7">
        <w:rPr>
          <w:b/>
          <w:lang w:val="pt-PT"/>
        </w:rPr>
        <w:t xml:space="preserve">Prazo: </w:t>
      </w:r>
      <w:r w:rsidRPr="000A0ED7">
        <w:rPr>
          <w:lang w:val="pt-PT"/>
        </w:rPr>
        <w:t>(aproximadamente 2 meses)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 w:eastAsia="pt-PT"/>
        </w:rPr>
        <w:drawing>
          <wp:inline distT="114300" distB="114300" distL="114300" distR="114300" wp14:anchorId="51605D09" wp14:editId="78DE05FF">
            <wp:extent cx="5943600" cy="1028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55051" name="image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A reunião das partes interessadas foi</w:t>
      </w:r>
      <w:r w:rsidRPr="000A0ED7">
        <w:rPr>
          <w:lang w:val="pt-PT"/>
        </w:rPr>
        <w:t xml:space="preserve"> concebida para ser inclusiva e altamente participativa. Como tal, devem ser dadas duas a três semanas de pré-aviso aos participantes para se prepararem. Para os participantes que viajam de áreas fora da capital, esta é uma consideração importante. A reuni</w:t>
      </w:r>
      <w:r w:rsidRPr="000A0ED7">
        <w:rPr>
          <w:lang w:val="pt-PT"/>
        </w:rPr>
        <w:t>ão em si durará três dias: os programadores escolhem frequentemente terça a quinta-feira para dar tempo suficiente aos viajantes para chegarem com um dia de antecedência. A sexta-feira de folga proporcionará um número selecionado de participantes no retiro</w:t>
      </w:r>
      <w:r w:rsidRPr="000A0ED7">
        <w:rPr>
          <w:lang w:val="pt-PT"/>
        </w:rPr>
        <w:t xml:space="preserve"> para o encerramento dos negócios e para se prepararem para a semana seguinte. 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O retiro de escrita deve ter lugar imediatamente após a reunião das partes interessadas. Isto minimiza o tempo que os viajantes devem passar afastados e assegura que as decisõe</w:t>
      </w:r>
      <w:r w:rsidRPr="000A0ED7">
        <w:rPr>
          <w:lang w:val="pt-PT"/>
        </w:rPr>
        <w:t xml:space="preserve">s tomadas na reunião das partes interessadas estejam frescas na mente dos participantes. Os programadores escolhem frequentemente segunda a quinta-feira para permitir aos viajantes um avanço na sua viagem de regresso. 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Deve haver pelo menos duas semanas en</w:t>
      </w:r>
      <w:r w:rsidRPr="000A0ED7">
        <w:rPr>
          <w:lang w:val="pt-PT"/>
        </w:rPr>
        <w:t>tre a circulação do projeto estratégico (entre os participantes na reunião das partes interessadas e dos participantes no retiro) e um prazo para a apresentação dos resultados. Os resultados não devem demorar mais do que uma semana a ser concluídos. Idealm</w:t>
      </w:r>
      <w:r w:rsidRPr="000A0ED7">
        <w:rPr>
          <w:lang w:val="pt-PT"/>
        </w:rPr>
        <w:t xml:space="preserve">ente, a reunião de validação da estratégia deveria ter lugar no prazo de um mês após o fim do retiro de escrita. </w:t>
      </w:r>
    </w:p>
    <w:p w:rsidR="00826B1B" w:rsidRPr="000A0ED7" w:rsidRDefault="00453376">
      <w:pPr>
        <w:pStyle w:val="Heading2"/>
        <w:rPr>
          <w:lang w:val="pt-PT"/>
        </w:rPr>
      </w:pPr>
      <w:bookmarkStart w:id="4" w:name="_ofv21iqmug7r" w:colFirst="0" w:colLast="0"/>
      <w:bookmarkEnd w:id="4"/>
      <w:r w:rsidRPr="000A0ED7">
        <w:rPr>
          <w:lang w:val="pt-PT"/>
        </w:rPr>
        <w:lastRenderedPageBreak/>
        <w:t>Etapa 1: Seminário das Partes Interessadas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 xml:space="preserve">A pasta do seminário das partes interessadas é o primeiro passo. Os </w:t>
      </w:r>
      <w:hyperlink r:id="rId19" w:history="1">
        <w:r w:rsidRPr="000A0ED7">
          <w:rPr>
            <w:b/>
            <w:color w:val="1155CC"/>
            <w:u w:val="single"/>
            <w:lang w:val="pt-PT"/>
          </w:rPr>
          <w:t>termos de referência</w:t>
        </w:r>
      </w:hyperlink>
      <w:r w:rsidRPr="000A0ED7">
        <w:rPr>
          <w:lang w:val="pt-PT"/>
        </w:rPr>
        <w:t xml:space="preserve">, as agendas dos </w:t>
      </w:r>
      <w:hyperlink r:id="rId20" w:history="1">
        <w:r w:rsidRPr="000A0ED7">
          <w:rPr>
            <w:b/>
            <w:color w:val="1155CC"/>
            <w:u w:val="single"/>
            <w:lang w:val="pt-PT"/>
          </w:rPr>
          <w:t>dias 1</w:t>
        </w:r>
      </w:hyperlink>
      <w:r w:rsidRPr="000A0ED7">
        <w:rPr>
          <w:lang w:val="pt-PT"/>
        </w:rPr>
        <w:t xml:space="preserve">, </w:t>
      </w:r>
      <w:hyperlink r:id="rId21" w:history="1">
        <w:r w:rsidRPr="000A0ED7">
          <w:rPr>
            <w:b/>
            <w:color w:val="1155CC"/>
            <w:u w:val="single"/>
            <w:lang w:val="pt-PT"/>
          </w:rPr>
          <w:t>2</w:t>
        </w:r>
      </w:hyperlink>
      <w:r w:rsidRPr="000A0ED7">
        <w:rPr>
          <w:lang w:val="pt-PT"/>
        </w:rPr>
        <w:t xml:space="preserve">, e </w:t>
      </w:r>
      <w:hyperlink r:id="rId22" w:history="1">
        <w:r w:rsidRPr="000A0ED7">
          <w:rPr>
            <w:b/>
            <w:color w:val="1155CC"/>
            <w:u w:val="single"/>
            <w:lang w:val="pt-PT"/>
          </w:rPr>
          <w:t>3</w:t>
        </w:r>
      </w:hyperlink>
      <w:r w:rsidRPr="000A0ED7">
        <w:rPr>
          <w:lang w:val="pt-PT"/>
        </w:rPr>
        <w:t xml:space="preserve"> e a </w:t>
      </w:r>
      <w:hyperlink r:id="rId23" w:history="1">
        <w:r w:rsidRPr="000A0ED7">
          <w:rPr>
            <w:b/>
            <w:color w:val="1155CC"/>
            <w:u w:val="single"/>
            <w:lang w:val="pt-PT"/>
          </w:rPr>
          <w:t>apresentação da estratégia</w:t>
        </w:r>
      </w:hyperlink>
      <w:r w:rsidRPr="000A0ED7">
        <w:rPr>
          <w:lang w:val="pt-PT"/>
        </w:rPr>
        <w:t xml:space="preserve"> introdutória familiarizam as partes interessadas com o processo e os resultados previstos. Nesta fase, são tomadas as decisões de alto nível que re</w:t>
      </w:r>
      <w:r w:rsidRPr="000A0ED7">
        <w:rPr>
          <w:lang w:val="pt-PT"/>
        </w:rPr>
        <w:t xml:space="preserve">querem a contribuição da equipa. </w:t>
      </w:r>
      <w:r w:rsidRPr="000A0ED7">
        <w:rPr>
          <w:b/>
          <w:lang w:val="pt-PT"/>
        </w:rPr>
        <w:t xml:space="preserve">O prefácio, a introdução e os planos específicos de intervenção (análise da situação e análise do comportamento) </w:t>
      </w:r>
      <w:r w:rsidRPr="000A0ED7">
        <w:rPr>
          <w:lang w:val="pt-PT"/>
        </w:rPr>
        <w:t>também serão elaborados durante esta etapa, utilizando o</w:t>
      </w:r>
      <w:hyperlink r:id="rId24" w:history="1">
        <w:r w:rsidRPr="000A0ED7">
          <w:rPr>
            <w:rStyle w:val="Hyperlink"/>
            <w:color w:val="1155CC"/>
            <w:lang w:val="pt-PT"/>
          </w:rPr>
          <w:t>https://endmalaria.org/sites/default/files/National-Malaria-SBC-Strategy-Template-2020-EN.doc</w:t>
        </w:r>
      </w:hyperlink>
      <w:hyperlink r:id="rId25" w:history="1">
        <w:r w:rsidRPr="000A0ED7">
          <w:rPr>
            <w:b/>
            <w:color w:val="1155CC"/>
            <w:u w:val="single"/>
            <w:lang w:val="pt-PT"/>
          </w:rPr>
          <w:t xml:space="preserve"> modelo estratégico</w:t>
        </w:r>
      </w:hyperlink>
      <w:r w:rsidRPr="000A0ED7">
        <w:rPr>
          <w:lang w:val="pt-PT"/>
        </w:rPr>
        <w:t xml:space="preserve"> e as </w:t>
      </w:r>
      <w:hyperlink r:id="rId26" w:history="1">
        <w:r w:rsidRPr="000A0ED7">
          <w:rPr>
            <w:b/>
            <w:color w:val="1155CC"/>
            <w:u w:val="single"/>
            <w:lang w:val="pt-PT"/>
          </w:rPr>
          <w:t>diretrizes</w:t>
        </w:r>
      </w:hyperlink>
      <w:hyperlink r:id="rId27" w:history="1">
        <w:r w:rsidRPr="000A0ED7">
          <w:rPr>
            <w:rStyle w:val="Hyperlink"/>
            <w:color w:val="1155CC"/>
            <w:lang w:val="pt-PT"/>
          </w:rPr>
          <w:t>https://endmalaria.org/sites/default/files/National-Malaria-SBC-Strategy-Guidance-2020-EN_0.pdf</w:t>
        </w:r>
      </w:hyperlink>
      <w:r w:rsidRPr="000A0ED7">
        <w:rPr>
          <w:lang w:val="pt-PT"/>
        </w:rPr>
        <w:t xml:space="preserve"> para orientação. Pode ser possível começar com </w:t>
      </w:r>
      <w:r w:rsidRPr="000A0ED7">
        <w:rPr>
          <w:b/>
          <w:lang w:val="pt-PT"/>
        </w:rPr>
        <w:t>an</w:t>
      </w:r>
      <w:r w:rsidRPr="000A0ED7">
        <w:rPr>
          <w:b/>
          <w:lang w:val="pt-PT"/>
        </w:rPr>
        <w:t>álises de intervenções específicas do público e abordagens de comunicação estratégica</w:t>
      </w:r>
      <w:r w:rsidRPr="000A0ED7">
        <w:rPr>
          <w:lang w:val="pt-PT"/>
        </w:rPr>
        <w:t xml:space="preserve">, mas estas serão, na melhor das hipóteses, em forma de rascunho. Os planos específicos de comportamento serão desenvolvidos durante o retiro de escrita subsequente. </w:t>
      </w:r>
    </w:p>
    <w:p w:rsidR="00826B1B" w:rsidRPr="000A0ED7" w:rsidRDefault="00453376">
      <w:pPr>
        <w:pStyle w:val="Heading4"/>
        <w:rPr>
          <w:lang w:val="pt-PT"/>
        </w:rPr>
      </w:pPr>
      <w:bookmarkStart w:id="5" w:name="_ma2hs8d6cyeb" w:colFirst="0" w:colLast="0"/>
      <w:bookmarkEnd w:id="5"/>
      <w:r w:rsidRPr="000A0ED7">
        <w:rPr>
          <w:lang w:val="pt-PT"/>
        </w:rPr>
        <w:t>Perf</w:t>
      </w:r>
      <w:r w:rsidRPr="000A0ED7">
        <w:rPr>
          <w:lang w:val="pt-PT"/>
        </w:rPr>
        <w:t>is dos participantes</w:t>
      </w:r>
    </w:p>
    <w:p w:rsidR="00826B1B" w:rsidRPr="000A0ED7" w:rsidRDefault="00453376">
      <w:pPr>
        <w:rPr>
          <w:lang w:val="pt-PT"/>
        </w:rPr>
        <w:sectPr w:rsidR="00826B1B" w:rsidRPr="000A0ED7">
          <w:footerReference w:type="default" r:id="rId28"/>
          <w:footerReference w:type="first" r:id="rId29"/>
          <w:pgSz w:w="12240" w:h="15840"/>
          <w:pgMar w:top="1440" w:right="1440" w:bottom="1440" w:left="1440" w:header="720" w:footer="720" w:gutter="0"/>
          <w:pgNumType w:start="1"/>
          <w:cols w:space="708"/>
          <w:titlePg/>
        </w:sectPr>
      </w:pPr>
      <w:r w:rsidRPr="000A0ED7">
        <w:rPr>
          <w:lang w:val="pt-PT"/>
        </w:rPr>
        <w:t xml:space="preserve">Um grupo com o máximo de 30 a 35 participantes composto por: 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lastRenderedPageBreak/>
        <w:t xml:space="preserve">Unidade do Projeto Nacional de Controlo da Malária (diretor, </w:t>
      </w:r>
      <w:r w:rsidRPr="000A0ED7">
        <w:rPr>
          <w:lang w:val="pt-PT"/>
        </w:rPr>
        <w:t>coordenador, (1) controlo vetorial, (1) gestão de casos, (1) malária na gravidez, (todos) representantes da Mudança Social e Comportamental/Informação, Educação e Comunicação/Defesa, Mobilização Social e Comunicação)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Diretor ou coordenador da unidade de pr</w:t>
      </w:r>
      <w:r w:rsidRPr="000A0ED7">
        <w:rPr>
          <w:lang w:val="pt-PT"/>
        </w:rPr>
        <w:t>omoção da saúde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 xml:space="preserve">Comunicadores regionais do Ministério da Saúde (representantes responsáveis pela Mudança Social e Comportamental ao mais alto nível </w:t>
      </w:r>
      <w:r w:rsidRPr="000A0ED7">
        <w:rPr>
          <w:i/>
          <w:lang w:val="pt-PT"/>
        </w:rPr>
        <w:t>subnacional</w:t>
      </w:r>
      <w:r w:rsidRPr="000A0ED7">
        <w:rPr>
          <w:lang w:val="pt-PT"/>
        </w:rPr>
        <w:t xml:space="preserve"> (um de cada região): muitas vezes não específicos da malária)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Unidade de saúde reprodutiva, mate</w:t>
      </w:r>
      <w:r w:rsidRPr="000A0ED7">
        <w:rPr>
          <w:lang w:val="pt-PT"/>
        </w:rPr>
        <w:t xml:space="preserve">rna, neonatal, infantil (diretor ou </w:t>
      </w:r>
      <w:r w:rsidRPr="000A0ED7">
        <w:rPr>
          <w:lang w:val="pt-PT"/>
        </w:rPr>
        <w:lastRenderedPageBreak/>
        <w:t>coordenador com um papel de decisão nos cuidados pré-natais)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Fundo Global (representante para a tomada de decisões)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Iniciativa do Presidente dos EUA contra a Malária (Conselheiro Residente ou Serviço Nacional do Estrange</w:t>
      </w:r>
      <w:r w:rsidRPr="000A0ED7">
        <w:rPr>
          <w:lang w:val="pt-PT"/>
        </w:rPr>
        <w:t>iro)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Fornecedor de serviços parceiro de implementação (representante com papel de coordenação e/ou formação de fornecedores de saúde)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Organização Mundial de Saúde (representante com conhecimento da política global e recomendações sobre a malária</w:t>
      </w:r>
    </w:p>
    <w:p w:rsidR="00826B1B" w:rsidRPr="000A0ED7" w:rsidRDefault="00453376">
      <w:pPr>
        <w:numPr>
          <w:ilvl w:val="0"/>
          <w:numId w:val="1"/>
        </w:numPr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num="2" w:space="708" w:equalWidth="0">
            <w:col w:w="4320" w:space="720"/>
            <w:col w:w="4320"/>
          </w:cols>
        </w:sectPr>
      </w:pPr>
      <w:r w:rsidRPr="000A0ED7">
        <w:rPr>
          <w:lang w:val="pt-PT"/>
        </w:rPr>
        <w:t>Representantes dos beneficiários da estratégia</w:t>
      </w:r>
    </w:p>
    <w:p w:rsidR="00826B1B" w:rsidRPr="000A0ED7" w:rsidRDefault="00826B1B">
      <w:pPr>
        <w:pStyle w:val="Heading4"/>
        <w:rPr>
          <w:lang w:val="pt-PT"/>
        </w:rPr>
      </w:pPr>
      <w:bookmarkStart w:id="6" w:name="_u9lg4ojkjhno" w:colFirst="0" w:colLast="0"/>
      <w:bookmarkEnd w:id="6"/>
    </w:p>
    <w:p w:rsidR="00826B1B" w:rsidRPr="000A0ED7" w:rsidRDefault="00453376">
      <w:pPr>
        <w:pStyle w:val="Heading4"/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bookmarkStart w:id="7" w:name="_qm4geet3u2zu" w:colFirst="0" w:colLast="0"/>
      <w:bookmarkEnd w:id="7"/>
      <w:r w:rsidRPr="000A0ED7">
        <w:rPr>
          <w:lang w:val="pt-PT"/>
        </w:rPr>
        <w:t>Recursos incluídos</w:t>
      </w:r>
    </w:p>
    <w:p w:rsidR="00826B1B" w:rsidRPr="000A0ED7" w:rsidRDefault="004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hyperlink r:id="rId30" w:history="1">
        <w:r w:rsidRPr="000A0ED7">
          <w:rPr>
            <w:color w:val="1155CC"/>
            <w:u w:val="single"/>
            <w:lang w:val="pt-PT"/>
          </w:rPr>
          <w:t>Pasta de recursos do seminário das partes interess</w:t>
        </w:r>
        <w:r w:rsidRPr="000A0ED7">
          <w:rPr>
            <w:color w:val="1155CC"/>
            <w:u w:val="single"/>
            <w:lang w:val="pt-PT"/>
          </w:rPr>
          <w:t>adas</w:t>
        </w:r>
      </w:hyperlink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 xml:space="preserve">Termos </w:t>
      </w:r>
      <w:r w:rsidRPr="000A0ED7">
        <w:rPr>
          <w:lang w:val="pt-PT"/>
        </w:rPr>
        <w:t>de</w:t>
      </w:r>
      <w:r w:rsidRPr="000A0ED7">
        <w:rPr>
          <w:color w:val="000000"/>
          <w:lang w:val="pt-PT"/>
        </w:rPr>
        <w:t xml:space="preserve"> referência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lastRenderedPageBreak/>
        <w:t>Apresentação geral do seminário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>Agendas para três dias</w:t>
      </w:r>
    </w:p>
    <w:p w:rsidR="00826B1B" w:rsidRPr="000A0ED7" w:rsidRDefault="004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hyperlink r:id="rId31" w:history="1">
        <w:r w:rsidRPr="000A0ED7">
          <w:rPr>
            <w:color w:val="1155CC"/>
            <w:u w:val="single"/>
            <w:lang w:val="pt-PT"/>
          </w:rPr>
          <w:t>Pasta de síntese de dados</w:t>
        </w:r>
      </w:hyperlink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>Resumos de dados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num="2" w:space="708" w:equalWidth="0">
            <w:col w:w="4320" w:space="720"/>
            <w:col w:w="4320"/>
          </w:cols>
        </w:sectPr>
      </w:pPr>
      <w:r w:rsidRPr="000A0ED7">
        <w:rPr>
          <w:color w:val="000000"/>
          <w:lang w:val="pt-PT"/>
        </w:rPr>
        <w:lastRenderedPageBreak/>
        <w:t>Relatos</w:t>
      </w:r>
      <w:r w:rsidRPr="000A0ED7">
        <w:rPr>
          <w:color w:val="000000"/>
          <w:lang w:val="pt-PT"/>
        </w:rPr>
        <w:t xml:space="preserve"> com fichas de trabalho de dados</w:t>
      </w:r>
    </w:p>
    <w:p w:rsidR="00826B1B" w:rsidRPr="000A0ED7" w:rsidRDefault="00453376">
      <w:pPr>
        <w:pStyle w:val="Heading2"/>
        <w:rPr>
          <w:lang w:val="pt-PT"/>
        </w:rPr>
      </w:pPr>
      <w:bookmarkStart w:id="8" w:name="_us8r4mwvv88e" w:colFirst="0" w:colLast="0"/>
      <w:bookmarkEnd w:id="8"/>
      <w:r w:rsidRPr="000A0ED7">
        <w:rPr>
          <w:lang w:val="pt-PT"/>
        </w:rPr>
        <w:lastRenderedPageBreak/>
        <w:t>Passo 2: Retiro de Escrita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 xml:space="preserve">O retiro de escrita (ou sessões de escrita virtual) é o segundo passo. Os </w:t>
      </w:r>
      <w:hyperlink r:id="rId32" w:history="1">
        <w:r w:rsidRPr="000A0ED7">
          <w:rPr>
            <w:b/>
            <w:color w:val="1155CC"/>
            <w:u w:val="single"/>
            <w:lang w:val="pt-PT"/>
          </w:rPr>
          <w:t>termos de</w:t>
        </w:r>
        <w:r w:rsidRPr="000A0ED7">
          <w:rPr>
            <w:b/>
            <w:color w:val="1155CC"/>
            <w:u w:val="single"/>
            <w:lang w:val="pt-PT"/>
          </w:rPr>
          <w:t xml:space="preserve"> referência</w:t>
        </w:r>
      </w:hyperlink>
      <w:r w:rsidRPr="000A0ED7">
        <w:rPr>
          <w:lang w:val="pt-PT"/>
        </w:rPr>
        <w:t>, agendas do</w:t>
      </w:r>
      <w:hyperlink r:id="rId33" w:history="1">
        <w:r w:rsidRPr="000A0ED7">
          <w:rPr>
            <w:b/>
            <w:color w:val="1155CC"/>
            <w:u w:val="single"/>
            <w:lang w:val="pt-PT"/>
          </w:rPr>
          <w:t xml:space="preserve"> dia 1</w:t>
        </w:r>
      </w:hyperlink>
      <w:r w:rsidRPr="000A0ED7">
        <w:rPr>
          <w:lang w:val="pt-PT"/>
        </w:rPr>
        <w:t xml:space="preserve">, </w:t>
      </w:r>
      <w:hyperlink r:id="rId34" w:history="1">
        <w:r w:rsidRPr="000A0ED7">
          <w:rPr>
            <w:b/>
            <w:color w:val="1155CC"/>
            <w:u w:val="single"/>
            <w:lang w:val="pt-PT"/>
          </w:rPr>
          <w:t>dia 2</w:t>
        </w:r>
      </w:hyperlink>
      <w:r w:rsidRPr="000A0ED7">
        <w:rPr>
          <w:lang w:val="pt-PT"/>
        </w:rPr>
        <w:t xml:space="preserve">, dia </w:t>
      </w:r>
      <w:hyperlink r:id="rId35" w:history="1">
        <w:r w:rsidRPr="000A0ED7">
          <w:rPr>
            <w:b/>
            <w:color w:val="1155CC"/>
            <w:u w:val="single"/>
            <w:lang w:val="pt-PT"/>
          </w:rPr>
          <w:t>3</w:t>
        </w:r>
      </w:hyperlink>
      <w:r w:rsidRPr="000A0ED7">
        <w:rPr>
          <w:lang w:val="pt-PT"/>
        </w:rPr>
        <w:t xml:space="preserve">, e </w:t>
      </w:r>
      <w:hyperlink r:id="rId36" w:history="1">
        <w:r w:rsidRPr="000A0ED7">
          <w:rPr>
            <w:b/>
            <w:color w:val="1155CC"/>
            <w:u w:val="single"/>
            <w:lang w:val="pt-PT"/>
          </w:rPr>
          <w:t>dia 4</w:t>
        </w:r>
      </w:hyperlink>
      <w:r w:rsidRPr="000A0ED7">
        <w:rPr>
          <w:lang w:val="pt-PT"/>
        </w:rPr>
        <w:t xml:space="preserve">, </w:t>
      </w:r>
      <w:hyperlink r:id="rId37" w:history="1">
        <w:r w:rsidRPr="000A0ED7">
          <w:rPr>
            <w:b/>
            <w:color w:val="1155CC"/>
            <w:u w:val="single"/>
            <w:lang w:val="pt-PT"/>
          </w:rPr>
          <w:t>utilização de Mosquiteiros Tratados com Inseticida</w:t>
        </w:r>
      </w:hyperlink>
      <w:r w:rsidRPr="000A0ED7">
        <w:rPr>
          <w:lang w:val="pt-PT"/>
        </w:rPr>
        <w:t xml:space="preserve">, </w:t>
      </w:r>
      <w:hyperlink r:id="rId38" w:history="1">
        <w:r w:rsidRPr="000A0ED7">
          <w:rPr>
            <w:b/>
            <w:color w:val="1155CC"/>
            <w:u w:val="single"/>
            <w:lang w:val="pt-PT"/>
          </w:rPr>
          <w:t>gestão de casos</w:t>
        </w:r>
      </w:hyperlink>
      <w:r w:rsidRPr="000A0ED7">
        <w:rPr>
          <w:lang w:val="pt-PT"/>
        </w:rPr>
        <w:t xml:space="preserve"> e malária em dossiers de dados de </w:t>
      </w:r>
      <w:hyperlink r:id="rId39" w:history="1">
        <w:r w:rsidRPr="000A0ED7">
          <w:rPr>
            <w:b/>
            <w:color w:val="1155CC"/>
            <w:u w:val="single"/>
            <w:lang w:val="pt-PT"/>
          </w:rPr>
          <w:t>gravidez</w:t>
        </w:r>
      </w:hyperlink>
      <w:r w:rsidRPr="000A0ED7">
        <w:rPr>
          <w:lang w:val="pt-PT"/>
        </w:rPr>
        <w:t xml:space="preserve"> e fichas de trabalho com dados (ver pasta de </w:t>
      </w:r>
      <w:hyperlink r:id="rId40" w:history="1">
        <w:r w:rsidRPr="000A0ED7">
          <w:rPr>
            <w:b/>
            <w:color w:val="1155CC"/>
            <w:u w:val="single"/>
            <w:lang w:val="pt-PT"/>
          </w:rPr>
          <w:t>síntese de dados</w:t>
        </w:r>
      </w:hyperlink>
      <w:r w:rsidRPr="000A0ED7">
        <w:rPr>
          <w:lang w:val="pt-PT"/>
        </w:rPr>
        <w:t>) contêm todas as folhas de trabalho necessárias da estratégia. Usando o modelo estratégico e o documento de orientação e seguindo estas etapas, será desenvolvido</w:t>
      </w:r>
      <w:r w:rsidRPr="000A0ED7">
        <w:rPr>
          <w:lang w:val="pt-PT"/>
        </w:rPr>
        <w:t xml:space="preserve"> o projeto estratégico. O objetivo desta etapa visa aperfeiçoar as análises da situação específica da intervenção e do comportamento elaboradas na primeira etapa e iniciar e concluir as</w:t>
      </w:r>
      <w:r w:rsidRPr="000A0ED7">
        <w:rPr>
          <w:b/>
          <w:lang w:val="pt-PT"/>
        </w:rPr>
        <w:t xml:space="preserve"> análises do público específico da intervenção e as abordagens de comun</w:t>
      </w:r>
      <w:r w:rsidRPr="000A0ED7">
        <w:rPr>
          <w:b/>
          <w:lang w:val="pt-PT"/>
        </w:rPr>
        <w:t>icação estratégica</w:t>
      </w:r>
      <w:r w:rsidRPr="000A0ED7">
        <w:rPr>
          <w:lang w:val="pt-PT"/>
        </w:rPr>
        <w:t xml:space="preserve">. A maior parte do trabalho implicará o </w:t>
      </w:r>
      <w:r w:rsidRPr="000A0ED7">
        <w:rPr>
          <w:b/>
          <w:lang w:val="pt-PT"/>
        </w:rPr>
        <w:t>desenvolvimento de planos específicos de comportamento</w:t>
      </w:r>
      <w:r w:rsidRPr="000A0ED7">
        <w:rPr>
          <w:lang w:val="pt-PT"/>
        </w:rPr>
        <w:t xml:space="preserve"> no âmbito de cada intervenção. Haverá múltiplos comportamentos-chave para cada intervenção e cada comportamento requer o desenvolvimento de múl</w:t>
      </w:r>
      <w:r w:rsidRPr="000A0ED7">
        <w:rPr>
          <w:lang w:val="pt-PT"/>
        </w:rPr>
        <w:t xml:space="preserve">tiplos objetivos de comunicação - todos eles requerem uma avaliação minuciosa dos resumos de dados e dos relatos com as folhas de trabalho com dados. O último passo inclui o desenvolvimento e a conclusão de um </w:t>
      </w:r>
      <w:r w:rsidRPr="000A0ED7">
        <w:rPr>
          <w:b/>
          <w:lang w:val="pt-PT"/>
        </w:rPr>
        <w:t>plano de monitorização, avaliação e aprendizag</w:t>
      </w:r>
      <w:r w:rsidRPr="000A0ED7">
        <w:rPr>
          <w:b/>
          <w:lang w:val="pt-PT"/>
        </w:rPr>
        <w:t>em</w:t>
      </w:r>
      <w:r w:rsidRPr="000A0ED7">
        <w:rPr>
          <w:lang w:val="pt-PT"/>
        </w:rPr>
        <w:t xml:space="preserve">. </w:t>
      </w:r>
    </w:p>
    <w:p w:rsidR="00826B1B" w:rsidRPr="000A0ED7" w:rsidRDefault="00453376">
      <w:pPr>
        <w:pStyle w:val="Heading4"/>
        <w:rPr>
          <w:lang w:val="pt-PT"/>
        </w:rPr>
      </w:pPr>
      <w:bookmarkStart w:id="9" w:name="_e1mxhhbxsk29" w:colFirst="0" w:colLast="0"/>
      <w:bookmarkEnd w:id="9"/>
      <w:r w:rsidRPr="000A0ED7">
        <w:rPr>
          <w:lang w:val="pt-PT"/>
        </w:rPr>
        <w:t>Perfis dos participantes</w:t>
      </w:r>
    </w:p>
    <w:p w:rsidR="00826B1B" w:rsidRPr="000A0ED7" w:rsidRDefault="00453376">
      <w:pPr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0A0ED7">
        <w:rPr>
          <w:lang w:val="pt-PT"/>
        </w:rPr>
        <w:t xml:space="preserve">Um grupo com o máximo de 10 a 15 participantes composto por: 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color w:val="000000"/>
          <w:lang w:val="pt-PT"/>
        </w:rPr>
      </w:pPr>
      <w:r w:rsidRPr="000A0ED7">
        <w:rPr>
          <w:lang w:val="pt-PT"/>
        </w:rPr>
        <w:lastRenderedPageBreak/>
        <w:t xml:space="preserve">Programa Nacional de Controlo da Malária: Mudança Social e Comportamental/Informação, Educação e Comunicação/Defesa, Mobilização Social e Comunicação </w:t>
      </w:r>
      <w:r w:rsidRPr="000A0ED7">
        <w:rPr>
          <w:lang w:val="pt-PT"/>
        </w:rPr>
        <w:t>unidade completa, (1) representante de controlo vetorial. (1) representante da malária na gravidez (1) representante de controlo de casos. (1) representante de Monitorização e Emergência.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color w:val="000000"/>
          <w:lang w:val="pt-PT"/>
        </w:rPr>
      </w:pPr>
      <w:r w:rsidRPr="000A0ED7">
        <w:rPr>
          <w:lang w:val="pt-PT"/>
        </w:rPr>
        <w:t>Unidade de promoção da saúde (representante com um papel de coordena</w:t>
      </w:r>
      <w:r w:rsidRPr="000A0ED7">
        <w:rPr>
          <w:lang w:val="pt-PT"/>
        </w:rPr>
        <w:t>ção)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color w:val="000000"/>
          <w:lang w:val="pt-PT"/>
        </w:rPr>
      </w:pPr>
      <w:r w:rsidRPr="000A0ED7">
        <w:rPr>
          <w:lang w:val="pt-PT"/>
        </w:rPr>
        <w:lastRenderedPageBreak/>
        <w:t>Unidade de saúde reprodutiva, materna, neonatal, infantil (representante com papel de coordenação dos Cuidados Pré-Natais)</w:t>
      </w:r>
    </w:p>
    <w:p w:rsidR="00826B1B" w:rsidRPr="000A0ED7" w:rsidRDefault="00453376">
      <w:pPr>
        <w:numPr>
          <w:ilvl w:val="0"/>
          <w:numId w:val="1"/>
        </w:numPr>
        <w:spacing w:after="0"/>
        <w:rPr>
          <w:lang w:val="pt-PT"/>
        </w:rPr>
      </w:pPr>
      <w:r w:rsidRPr="000A0ED7">
        <w:rPr>
          <w:lang w:val="pt-PT"/>
        </w:rPr>
        <w:t>Organização Mundial de Saúde (representante selecionado para o seminário das partes interessadas)</w:t>
      </w:r>
    </w:p>
    <w:p w:rsidR="00826B1B" w:rsidRPr="000A0ED7" w:rsidRDefault="00453376">
      <w:pPr>
        <w:numPr>
          <w:ilvl w:val="0"/>
          <w:numId w:val="1"/>
        </w:numPr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num="2" w:space="708" w:equalWidth="0">
            <w:col w:w="4320" w:space="720"/>
            <w:col w:w="4320"/>
          </w:cols>
        </w:sectPr>
      </w:pPr>
      <w:r w:rsidRPr="000A0ED7">
        <w:rPr>
          <w:lang w:val="pt-PT"/>
        </w:rPr>
        <w:t>Fornec</w:t>
      </w:r>
      <w:r w:rsidRPr="000A0ED7">
        <w:rPr>
          <w:lang w:val="pt-PT"/>
        </w:rPr>
        <w:t>edor de serviços parceiro de implementação (representante com papel de coordenação e/ou formação de fornecedores de saúde</w:t>
      </w:r>
    </w:p>
    <w:p w:rsidR="00826B1B" w:rsidRPr="000A0ED7" w:rsidRDefault="00453376">
      <w:pPr>
        <w:pStyle w:val="Heading4"/>
        <w:rPr>
          <w:lang w:val="pt-PT"/>
        </w:rPr>
      </w:pPr>
      <w:bookmarkStart w:id="10" w:name="_8oulmdnqummt" w:colFirst="0" w:colLast="0"/>
      <w:bookmarkEnd w:id="10"/>
      <w:r w:rsidRPr="000A0ED7">
        <w:rPr>
          <w:lang w:val="pt-PT"/>
        </w:rPr>
        <w:lastRenderedPageBreak/>
        <w:t>Recursos incluídos</w:t>
      </w:r>
    </w:p>
    <w:p w:rsidR="00826B1B" w:rsidRPr="000A0ED7" w:rsidRDefault="00826B1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</w:p>
    <w:p w:rsidR="00826B1B" w:rsidRPr="000A0ED7" w:rsidRDefault="004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hyperlink r:id="rId41" w:history="1">
        <w:r w:rsidRPr="000A0ED7">
          <w:rPr>
            <w:color w:val="1155CC"/>
            <w:u w:val="single"/>
            <w:lang w:val="pt-PT"/>
          </w:rPr>
          <w:t>Pasta de recursos do retiro de escrita</w:t>
        </w:r>
      </w:hyperlink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 xml:space="preserve">Termos </w:t>
      </w:r>
      <w:r w:rsidRPr="000A0ED7">
        <w:rPr>
          <w:lang w:val="pt-PT"/>
        </w:rPr>
        <w:t>de</w:t>
      </w:r>
      <w:r w:rsidRPr="000A0ED7">
        <w:rPr>
          <w:color w:val="000000"/>
          <w:lang w:val="pt-PT"/>
        </w:rPr>
        <w:t xml:space="preserve"> referência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>Agendas para quatro dias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>Agenda da reunião de validação estratégica</w:t>
      </w:r>
    </w:p>
    <w:p w:rsidR="00826B1B" w:rsidRPr="000A0ED7" w:rsidRDefault="004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hyperlink r:id="rId42" w:history="1">
        <w:r w:rsidRPr="000A0ED7">
          <w:rPr>
            <w:color w:val="1155CC"/>
            <w:u w:val="single"/>
            <w:lang w:val="pt-PT"/>
          </w:rPr>
          <w:t>Pasta de síntese de dados</w:t>
        </w:r>
      </w:hyperlink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0A0ED7">
        <w:rPr>
          <w:color w:val="000000"/>
          <w:lang w:val="pt-PT"/>
        </w:rPr>
        <w:t>Resumos de dados</w:t>
      </w:r>
    </w:p>
    <w:p w:rsidR="00826B1B" w:rsidRPr="000A0ED7" w:rsidRDefault="00453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num="2" w:space="708" w:equalWidth="0">
            <w:col w:w="4320" w:space="720"/>
            <w:col w:w="4320"/>
          </w:cols>
        </w:sectPr>
      </w:pPr>
      <w:r w:rsidRPr="000A0ED7">
        <w:rPr>
          <w:color w:val="000000"/>
          <w:lang w:val="pt-PT"/>
        </w:rPr>
        <w:t>Relatos com fichas de trabalho de dados</w:t>
      </w:r>
    </w:p>
    <w:p w:rsidR="00826B1B" w:rsidRPr="000A0ED7" w:rsidRDefault="00453376">
      <w:pPr>
        <w:pStyle w:val="Heading2"/>
        <w:rPr>
          <w:lang w:val="pt-PT"/>
        </w:rPr>
      </w:pPr>
      <w:bookmarkStart w:id="11" w:name="_jpxr26f4czpw" w:colFirst="0" w:colLast="0"/>
      <w:bookmarkEnd w:id="11"/>
      <w:r w:rsidRPr="000A0ED7">
        <w:rPr>
          <w:lang w:val="pt-PT"/>
        </w:rPr>
        <w:lastRenderedPageBreak/>
        <w:t>Passo 3: Reunião de validação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Quando a estratégia estiver completa, divulgar a mesma a fim de receber os contributos dos parceiros. Uma vez obtidos e integrados os comentários</w:t>
      </w:r>
      <w:r w:rsidRPr="000A0ED7">
        <w:rPr>
          <w:lang w:val="pt-PT"/>
        </w:rPr>
        <w:t xml:space="preserve">, partilhar novamente a estratégia com os parceiros incluindo um convite para a reunião de validação. O ficheiro de validação contém uma agenda para uma reunião de um dia. </w:t>
      </w:r>
      <w:r w:rsidRPr="000A0ED7">
        <w:rPr>
          <w:i/>
          <w:lang w:val="pt-PT"/>
        </w:rPr>
        <w:t>O objetivo desta reunião não é rever a estratégia ou discutir o seu conteúdo</w:t>
      </w:r>
      <w:r w:rsidRPr="000A0ED7">
        <w:rPr>
          <w:lang w:val="pt-PT"/>
        </w:rPr>
        <w:t>. O mesm</w:t>
      </w:r>
      <w:r w:rsidRPr="000A0ED7">
        <w:rPr>
          <w:lang w:val="pt-PT"/>
        </w:rPr>
        <w:t>o deve ser realizado antes da validação. Em vez disso, a reunião de validação visa celebrar a conclusão da estratégia e discutir como esta será divulgada e utilizada.</w:t>
      </w:r>
    </w:p>
    <w:p w:rsidR="00826B1B" w:rsidRPr="000A0ED7" w:rsidRDefault="00453376">
      <w:pPr>
        <w:pStyle w:val="Heading4"/>
        <w:rPr>
          <w:lang w:val="pt-PT"/>
        </w:rPr>
      </w:pPr>
      <w:bookmarkStart w:id="12" w:name="_ie7rlrpcz4r9" w:colFirst="0" w:colLast="0"/>
      <w:bookmarkEnd w:id="12"/>
      <w:r w:rsidRPr="000A0ED7">
        <w:rPr>
          <w:lang w:val="pt-PT"/>
        </w:rPr>
        <w:t>Perfis dos participantes</w:t>
      </w:r>
    </w:p>
    <w:p w:rsidR="00826B1B" w:rsidRPr="000A0ED7" w:rsidRDefault="00453376">
      <w:pPr>
        <w:rPr>
          <w:lang w:val="pt-PT"/>
        </w:rPr>
      </w:pPr>
      <w:r w:rsidRPr="000A0ED7">
        <w:rPr>
          <w:lang w:val="pt-PT"/>
        </w:rPr>
        <w:t>Para além das pessoas envolvidas tanto na reunião das partes interessadas como no retiro escrito, considerar convidar um representante de alto nível do Ministério da Saúde, de preferência o representante que assinará a secção de prefácio da estratégia, par</w:t>
      </w:r>
      <w:r w:rsidRPr="000A0ED7">
        <w:rPr>
          <w:lang w:val="pt-PT"/>
        </w:rPr>
        <w:t xml:space="preserve">a abrir a reunião e anunciar a estratégia validada. </w:t>
      </w:r>
    </w:p>
    <w:p w:rsidR="00826B1B" w:rsidRPr="000A0ED7" w:rsidRDefault="00453376">
      <w:pPr>
        <w:pStyle w:val="Heading4"/>
        <w:rPr>
          <w:lang w:val="pt-PT"/>
        </w:rPr>
      </w:pPr>
      <w:bookmarkStart w:id="13" w:name="_1i5r96hxtsnr" w:colFirst="0" w:colLast="0"/>
      <w:bookmarkEnd w:id="13"/>
      <w:r w:rsidRPr="000A0ED7">
        <w:rPr>
          <w:lang w:val="pt-PT"/>
        </w:rPr>
        <w:t>Recursos incluídos</w:t>
      </w:r>
    </w:p>
    <w:p w:rsidR="00826B1B" w:rsidRPr="000A0ED7" w:rsidRDefault="00826B1B">
      <w:pPr>
        <w:spacing w:after="0"/>
        <w:ind w:left="720" w:hanging="360"/>
        <w:rPr>
          <w:lang w:val="pt-PT"/>
        </w:rPr>
        <w:sectPr w:rsidR="00826B1B" w:rsidRPr="000A0ED7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</w:p>
    <w:p w:rsidR="00826B1B" w:rsidRPr="000A0ED7" w:rsidRDefault="00453376">
      <w:pPr>
        <w:numPr>
          <w:ilvl w:val="0"/>
          <w:numId w:val="2"/>
        </w:numPr>
        <w:spacing w:after="0"/>
        <w:rPr>
          <w:lang w:val="pt-PT"/>
        </w:rPr>
      </w:pPr>
      <w:hyperlink r:id="rId43" w:history="1">
        <w:r w:rsidRPr="000A0ED7">
          <w:rPr>
            <w:color w:val="1155CC"/>
            <w:u w:val="single"/>
            <w:lang w:val="pt-PT"/>
          </w:rPr>
          <w:t>Agenda da reunião de validação</w:t>
        </w:r>
      </w:hyperlink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p w:rsidR="00826B1B" w:rsidRPr="000A0ED7" w:rsidRDefault="00826B1B">
      <w:pPr>
        <w:spacing w:after="0"/>
        <w:rPr>
          <w:lang w:val="pt-PT"/>
        </w:rPr>
      </w:pPr>
    </w:p>
    <w:sectPr w:rsidR="00826B1B" w:rsidRPr="000A0ED7">
      <w:type w:val="continuous"/>
      <w:pgSz w:w="12240" w:h="15840"/>
      <w:pgMar w:top="1440" w:right="1440" w:bottom="1440" w:left="1440" w:header="720" w:footer="720" w:gutter="0"/>
      <w:cols w:num="2" w:space="708" w:equalWidth="0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76" w:rsidRDefault="00453376">
      <w:pPr>
        <w:spacing w:after="0" w:line="240" w:lineRule="auto"/>
      </w:pPr>
      <w:r>
        <w:separator/>
      </w:r>
    </w:p>
  </w:endnote>
  <w:endnote w:type="continuationSeparator" w:id="0">
    <w:p w:rsidR="00453376" w:rsidRDefault="0045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1B" w:rsidRDefault="00453376"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1B" w:rsidRDefault="00453376">
    <w:r>
      <w:rPr>
        <w:noProof/>
        <w:lang w:val="pt-PT" w:eastAsia="pt-PT"/>
      </w:rPr>
      <w:drawing>
        <wp:inline distT="114300" distB="114300" distL="114300" distR="114300" wp14:anchorId="7701DA83" wp14:editId="1D28D2F8">
          <wp:extent cx="2164349" cy="538163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32867" name="image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349" cy="53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</w:t>
    </w:r>
    <w:r>
      <w:rPr>
        <w:noProof/>
        <w:lang w:val="pt-PT" w:eastAsia="pt-PT"/>
      </w:rPr>
      <w:drawing>
        <wp:inline distT="114300" distB="114300" distL="114300" distR="114300" wp14:anchorId="423245D7" wp14:editId="1DAE2977">
          <wp:extent cx="2012885" cy="519113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1644" name="image3.png"/>
                  <pic:cNvPicPr/>
                </pic:nvPicPr>
                <pic:blipFill>
                  <a:blip r:embed="rId2"/>
                  <a:srcRect t="14492" b="14492"/>
                  <a:stretch>
                    <a:fillRect/>
                  </a:stretch>
                </pic:blipFill>
                <pic:spPr>
                  <a:xfrm>
                    <a:off x="0" y="0"/>
                    <a:ext cx="2012885" cy="51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76" w:rsidRDefault="00453376">
      <w:pPr>
        <w:spacing w:after="0" w:line="240" w:lineRule="auto"/>
      </w:pPr>
      <w:r>
        <w:separator/>
      </w:r>
    </w:p>
  </w:footnote>
  <w:footnote w:type="continuationSeparator" w:id="0">
    <w:p w:rsidR="00453376" w:rsidRDefault="0045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0F68"/>
    <w:multiLevelType w:val="hybridMultilevel"/>
    <w:tmpl w:val="00000000"/>
    <w:lvl w:ilvl="0" w:tplc="20B63A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C3C00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4C655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2DA56A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9A054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923D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83895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FC11E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872C62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78D5C4"/>
    <w:multiLevelType w:val="hybridMultilevel"/>
    <w:tmpl w:val="00000000"/>
    <w:lvl w:ilvl="0" w:tplc="EFFAFA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B9AF54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04C5A9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2209E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7DA02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2F0A8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92ACA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6B050A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9E888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7E9859"/>
    <w:multiLevelType w:val="hybridMultilevel"/>
    <w:tmpl w:val="00000000"/>
    <w:lvl w:ilvl="0" w:tplc="88B6477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0821EA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21095F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5464F1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552942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D62440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F8A057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DB2A16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1D8D23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D20D8B0"/>
    <w:multiLevelType w:val="hybridMultilevel"/>
    <w:tmpl w:val="00000000"/>
    <w:lvl w:ilvl="0" w:tplc="82C09C9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8A6B6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2819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62EA6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AB6F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7CFDB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4A2B90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51A89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D2F71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1B"/>
    <w:rsid w:val="000A0ED7"/>
    <w:rsid w:val="00453376"/>
    <w:rsid w:val="008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hd w:val="clear" w:color="auto" w:fill="EDEDED"/>
      <w:spacing w:before="480" w:after="240" w:line="240" w:lineRule="auto"/>
      <w:outlineLvl w:val="0"/>
    </w:pPr>
    <w:rPr>
      <w:b/>
      <w:smallCaps/>
      <w:color w:val="A5A5A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0" w:line="240" w:lineRule="auto"/>
      <w:outlineLvl w:val="1"/>
    </w:pPr>
    <w:rPr>
      <w:b/>
      <w:color w:val="A5A5A5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pBdr>
        <w:top w:val="single" w:sz="4" w:space="1" w:color="A5A5A5"/>
        <w:bottom w:val="single" w:sz="4" w:space="1" w:color="A5A5A5"/>
      </w:pBdr>
      <w:spacing w:before="200" w:after="120" w:line="240" w:lineRule="auto"/>
      <w:outlineLvl w:val="2"/>
    </w:pPr>
    <w:rPr>
      <w:color w:val="A5A5A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olor w:val="808080"/>
    </w:rPr>
  </w:style>
  <w:style w:type="paragraph" w:styleId="Heading5">
    <w:name w:val="heading 5"/>
    <w:basedOn w:val="Normal"/>
    <w:next w:val="Normal"/>
    <w:pPr>
      <w:spacing w:before="40" w:after="0"/>
      <w:outlineLvl w:val="4"/>
    </w:pPr>
    <w:rPr>
      <w:b/>
      <w:i/>
      <w:color w:val="808080"/>
    </w:rPr>
  </w:style>
  <w:style w:type="paragraph" w:styleId="Heading6">
    <w:name w:val="heading 6"/>
    <w:basedOn w:val="Normal"/>
    <w:next w:val="Normal"/>
    <w:pPr>
      <w:spacing w:before="40" w:after="0"/>
      <w:outlineLvl w:val="5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240" w:line="240" w:lineRule="auto"/>
    </w:pPr>
    <w:rPr>
      <w:color w:val="A5A5A5"/>
      <w:sz w:val="48"/>
      <w:szCs w:val="48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hd w:val="clear" w:color="auto" w:fill="EDEDED"/>
      <w:spacing w:before="480" w:after="240" w:line="240" w:lineRule="auto"/>
      <w:outlineLvl w:val="0"/>
    </w:pPr>
    <w:rPr>
      <w:b/>
      <w:smallCaps/>
      <w:color w:val="A5A5A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0" w:line="240" w:lineRule="auto"/>
      <w:outlineLvl w:val="1"/>
    </w:pPr>
    <w:rPr>
      <w:b/>
      <w:color w:val="A5A5A5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pBdr>
        <w:top w:val="single" w:sz="4" w:space="1" w:color="A5A5A5"/>
        <w:bottom w:val="single" w:sz="4" w:space="1" w:color="A5A5A5"/>
      </w:pBdr>
      <w:spacing w:before="200" w:after="120" w:line="240" w:lineRule="auto"/>
      <w:outlineLvl w:val="2"/>
    </w:pPr>
    <w:rPr>
      <w:color w:val="A5A5A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olor w:val="808080"/>
    </w:rPr>
  </w:style>
  <w:style w:type="paragraph" w:styleId="Heading5">
    <w:name w:val="heading 5"/>
    <w:basedOn w:val="Normal"/>
    <w:next w:val="Normal"/>
    <w:pPr>
      <w:spacing w:before="40" w:after="0"/>
      <w:outlineLvl w:val="4"/>
    </w:pPr>
    <w:rPr>
      <w:b/>
      <w:i/>
      <w:color w:val="808080"/>
    </w:rPr>
  </w:style>
  <w:style w:type="paragraph" w:styleId="Heading6">
    <w:name w:val="heading 6"/>
    <w:basedOn w:val="Normal"/>
    <w:next w:val="Normal"/>
    <w:pPr>
      <w:spacing w:before="40" w:after="0"/>
      <w:outlineLvl w:val="5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240" w:line="240" w:lineRule="auto"/>
    </w:pPr>
    <w:rPr>
      <w:color w:val="A5A5A5"/>
      <w:sz w:val="48"/>
      <w:szCs w:val="48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hyperlink" Target="https://endmalaria.org/sites/default/files/National-Malaria-SBC-Strategy-Guidance-2020-EN_0.pdf" TargetMode="External"/><Relationship Id="rId39" Type="http://schemas.openxmlformats.org/officeDocument/2006/relationships/hyperlink" Target="https://docs.google.com/document/d/1kPE4ux3QeVrB0XVhHeQ4zOlg6-tyHZOJZyCkH4K3Gc4/edit?usp=sharing" TargetMode="External"/><Relationship Id="rId21" Type="http://schemas.openxmlformats.org/officeDocument/2006/relationships/hyperlink" Target="https://docs.google.com/document/d/1lpY_TkrtIvc55IFDwfK9r06vPr9U0QanXgKjm3dSnLw/edit?usp=sharing" TargetMode="External"/><Relationship Id="rId34" Type="http://schemas.openxmlformats.org/officeDocument/2006/relationships/hyperlink" Target="https://docs.google.com/document/d/1yMNhmPUmPGe7_bHaFJ_kMJxLMxzhHz63SnIts8WPKPs/edit?usp=sharing" TargetMode="External"/><Relationship Id="rId42" Type="http://schemas.openxmlformats.org/officeDocument/2006/relationships/hyperlink" Target="https://drive.google.com/drive/folders/1oYPR66jELNOFNKgmPAbksqOly5ToDOdN?usp=sharin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nT9-we6n9ZYo5tJSMKEBlTXRR0PSxBJKc33zRaEY4XM/edit?usp=sharin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dmalaria.org/sites/default/files/National-Malaria-SBC-Strategy-Template-2020-EN.doc" TargetMode="External"/><Relationship Id="rId24" Type="http://schemas.openxmlformats.org/officeDocument/2006/relationships/hyperlink" Target="https://endmalaria.org/sites/default/files/National-Malaria-SBC-Strategy-Template-2020-EN.doc" TargetMode="External"/><Relationship Id="rId32" Type="http://schemas.openxmlformats.org/officeDocument/2006/relationships/hyperlink" Target="https://docs.google.com/document/d/1w-AR2mxE40PGpgPiuKGOqDfwck4D9mZRRioLXfoeBQ8/edit?usp=sharing" TargetMode="External"/><Relationship Id="rId37" Type="http://schemas.openxmlformats.org/officeDocument/2006/relationships/hyperlink" Target="https://docs.google.com/document/d/1DNqvzpozW_H-WF1y3umPl49shzoa0InjTkbPBJg2eRw/edit?usp=sharing" TargetMode="External"/><Relationship Id="rId40" Type="http://schemas.openxmlformats.org/officeDocument/2006/relationships/hyperlink" Target="https://drive.google.com/drive/folders/1oYPR66jELNOFNKgmPAbksqOly5ToDOdN?usp=sharin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NQ-LJ1rknHpBy5ce_20hWqI9mbfmJ6Cz?usp=sharing" TargetMode="External"/><Relationship Id="rId23" Type="http://schemas.openxmlformats.org/officeDocument/2006/relationships/hyperlink" Target="https://docs.google.com/presentation/d/19Zhk66mvBHK0JymtC1lGofvgH4KGQ57KCTngObXSWW4/edit?usp=sharing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docs.google.com/document/d/1YM6JKjJPxNumftwKuW9XzBuWtEc7RzoaoPzNphNW1QY/edit?usp=sharing" TargetMode="External"/><Relationship Id="rId10" Type="http://schemas.openxmlformats.org/officeDocument/2006/relationships/hyperlink" Target="https://drive.google.com/drive/folders/1paJiNjmiHdVtfI25BZSCfpk1HV61ygcL?usp=sharing" TargetMode="External"/><Relationship Id="rId19" Type="http://schemas.openxmlformats.org/officeDocument/2006/relationships/hyperlink" Target="https://docs.google.com/document/d/1-Rov5fRDweqMu3wAEO8NJ-KgWpGG_WapPYi6UIeNtQM/edit?usp=sharing" TargetMode="External"/><Relationship Id="rId31" Type="http://schemas.openxmlformats.org/officeDocument/2006/relationships/hyperlink" Target="https://drive.google.com/drive/folders/1oYPR66jELNOFNKgmPAbksqOly5ToDOdN?usp=sharin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dmalaria.org/sites/default/files/National-Malaria-SBC-Strategy-Guidance-2020-EN_0.pdf" TargetMode="External"/><Relationship Id="rId14" Type="http://schemas.openxmlformats.org/officeDocument/2006/relationships/hyperlink" Target="https://drive.google.com/drive/folders/1XUixRS72B3bcm1kDq0Qosd4QD_7v9Zp8?usp=sharing" TargetMode="External"/><Relationship Id="rId22" Type="http://schemas.openxmlformats.org/officeDocument/2006/relationships/hyperlink" Target="https://docs.google.com/document/d/1sSkykWBz0Kk2kjgvnSZ5iLfj_74z5mrba4-wH3Log24/edit?usp=sharing" TargetMode="External"/><Relationship Id="rId27" Type="http://schemas.openxmlformats.org/officeDocument/2006/relationships/hyperlink" Target="https://endmalaria.org/sites/default/files/National-Malaria-SBC-Strategy-Guidance-2020-EN_0.pdf" TargetMode="External"/><Relationship Id="rId30" Type="http://schemas.openxmlformats.org/officeDocument/2006/relationships/hyperlink" Target="https://drive.google.com/drive/folders/1XUixRS72B3bcm1kDq0Qosd4QD_7v9Zp8?usp=sharing" TargetMode="External"/><Relationship Id="rId35" Type="http://schemas.openxmlformats.org/officeDocument/2006/relationships/hyperlink" Target="https://docs.google.com/document/d/13p37gzNW6WZJPdKvsiarpjtv8NwE5qG4HwFpn3zGkVU/edit?usp=sharing" TargetMode="External"/><Relationship Id="rId43" Type="http://schemas.openxmlformats.org/officeDocument/2006/relationships/hyperlink" Target="https://docs.google.com/document/d/1nT9-we6n9ZYo5tJSMKEBlTXRR0PSxBJKc33zRaEY4XM/edit?usp=sharing" TargetMode="External"/><Relationship Id="rId8" Type="http://schemas.openxmlformats.org/officeDocument/2006/relationships/hyperlink" Target="https://endmalaria.org/sites/default/files/National-Malaria-SBC-Strategy-Template-2020-EN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dmalaria.org/sites/default/files/National-Malaria-SBC-Strategy-Guidance-2020-EN_0.pdf" TargetMode="External"/><Relationship Id="rId17" Type="http://schemas.openxmlformats.org/officeDocument/2006/relationships/hyperlink" Target="https://drive.google.com/drive/folders/1oYPR66jELNOFNKgmPAbksqOly5ToDOdN?usp=sharing" TargetMode="External"/><Relationship Id="rId25" Type="http://schemas.openxmlformats.org/officeDocument/2006/relationships/hyperlink" Target="https://endmalaria.org/sites/default/files/National-Malaria-SBC-Strategy-Template-2020-EN.doc" TargetMode="External"/><Relationship Id="rId33" Type="http://schemas.openxmlformats.org/officeDocument/2006/relationships/hyperlink" Target="https://docs.google.com/document/d/1yiNJNvOYRPjzi1XbJli_kdS6SWYCMxpfO2dxgApJmkI/edit?usp=sharing" TargetMode="External"/><Relationship Id="rId38" Type="http://schemas.openxmlformats.org/officeDocument/2006/relationships/hyperlink" Target="https://docs.google.com/document/d/1ZXKDibyRPR64xoXBLl3zsfDK27mlCu8Yu49kIRq4wWQ/edit?usp=sharing" TargetMode="External"/><Relationship Id="rId20" Type="http://schemas.openxmlformats.org/officeDocument/2006/relationships/hyperlink" Target="https://docs.google.com/document/d/15wjXTFD4TfsnswMpC3LUgM_vcv1KF-r8Cjm1wTACoTU/edit?usp=sharing" TargetMode="External"/><Relationship Id="rId41" Type="http://schemas.openxmlformats.org/officeDocument/2006/relationships/hyperlink" Target="https://drive.google.com/drive/folders/1NQ-LJ1rknHpBy5ce_20hWqI9mbfmJ6Cz?usp=shari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2213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2020-11-04T22:23:00Z</dcterms:modified>
</cp:coreProperties>
</file>