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ORDRE DU JOUR DE LA DEUXIÈME JOURNÉE</w:t>
      </w:r>
    </w:p>
    <w:p w:rsidR="00000000" w:rsidDel="00000000" w:rsidP="00000000" w:rsidRDefault="00000000" w:rsidRPr="00000000" w14:paraId="00000002">
      <w:pPr>
        <w:pStyle w:val="Heading1"/>
        <w:rPr/>
      </w:pPr>
      <w:r w:rsidDel="00000000" w:rsidR="00000000" w:rsidRPr="00000000">
        <w:rPr>
          <w:rtl w:val="0"/>
        </w:rPr>
        <w:t xml:space="preserve">Atelier des parties prenantes sur la stratégie de CSC en matière de paludisme </w:t>
      </w:r>
    </w:p>
    <w:p w:rsidR="00000000" w:rsidDel="00000000" w:rsidP="00000000" w:rsidRDefault="00000000" w:rsidRPr="00000000" w14:paraId="00000003">
      <w:pPr>
        <w:pStyle w:val="Heading2"/>
        <w:spacing w:after="0" w:lineRule="auto"/>
        <w:rPr/>
      </w:pPr>
      <w:r w:rsidDel="00000000" w:rsidR="00000000" w:rsidRPr="00000000">
        <w:rPr>
          <w:rtl w:val="0"/>
        </w:rPr>
        <w:t xml:space="preserve">Date</w:t>
      </w:r>
    </w:p>
    <w:p w:rsidR="00000000" w:rsidDel="00000000" w:rsidP="00000000" w:rsidRDefault="00000000" w:rsidRPr="00000000" w14:paraId="00000004">
      <w:pPr>
        <w:pStyle w:val="Heading2"/>
        <w:spacing w:before="0" w:lineRule="auto"/>
        <w:rPr/>
      </w:pPr>
      <w:r w:rsidDel="00000000" w:rsidR="00000000" w:rsidRPr="00000000">
        <w:rPr>
          <w:rtl w:val="0"/>
        </w:rPr>
        <w:t xml:space="preserve">Heure de début — heure de fin</w:t>
      </w:r>
    </w:p>
    <w:p w:rsidR="00000000" w:rsidDel="00000000" w:rsidP="00000000" w:rsidRDefault="00000000" w:rsidRPr="00000000" w14:paraId="00000005">
      <w:pPr>
        <w:rPr/>
      </w:pPr>
      <w:r w:rsidDel="00000000" w:rsidR="00000000" w:rsidRPr="00000000">
        <w:rPr>
          <w:rtl w:val="0"/>
        </w:rPr>
        <w:t xml:space="preserve">Réunion convoquée par Nom du facilitateur</w:t>
      </w:r>
    </w:p>
    <w:tbl>
      <w:tblPr>
        <w:tblStyle w:val="Table1"/>
        <w:tblW w:w="1033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8"/>
        <w:gridCol w:w="8175"/>
        <w:tblGridChange w:id="0">
          <w:tblGrid>
            <w:gridCol w:w="2158"/>
            <w:gridCol w:w="8175"/>
          </w:tblGrid>
        </w:tblGridChange>
      </w:tblGrid>
      <w:tr>
        <w:trPr>
          <w:cantSplit w:val="0"/>
          <w:trHeight w:val="4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spacing w:after="0" w:before="0" w:line="240" w:lineRule="auto"/>
              <w:ind w:left="-90" w:firstLine="0"/>
              <w:rPr>
                <w:b w:val="1"/>
              </w:rPr>
            </w:pPr>
            <w:r w:rsidDel="00000000" w:rsidR="00000000" w:rsidRPr="00000000">
              <w:rPr>
                <w:b w:val="1"/>
                <w:rtl w:val="0"/>
              </w:rPr>
              <w:t xml:space="preserve">Participants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spacing w:after="0" w:before="0" w:line="240" w:lineRule="auto"/>
              <w:ind w:left="-90" w:firstLine="0"/>
              <w:rPr/>
            </w:pPr>
            <w:r w:rsidDel="00000000" w:rsidR="00000000" w:rsidRPr="00000000">
              <w:rPr>
                <w:rtl w:val="0"/>
              </w:rPr>
              <w:t xml:space="preserve">Noms des participants</w:t>
            </w:r>
          </w:p>
        </w:tc>
      </w:tr>
      <w:tr>
        <w:trPr>
          <w:cantSplit w:val="0"/>
          <w:trHeight w:val="2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spacing w:after="0" w:before="0" w:line="240" w:lineRule="auto"/>
              <w:ind w:left="-90" w:firstLine="0"/>
              <w:rPr>
                <w:b w:val="1"/>
              </w:rPr>
            </w:pPr>
            <w:r w:rsidDel="00000000" w:rsidR="00000000" w:rsidRPr="00000000">
              <w:rPr>
                <w:b w:val="1"/>
                <w:rtl w:val="0"/>
              </w:rPr>
              <w:t xml:space="preserve">Veuillez lire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0" w:before="0" w:line="240" w:lineRule="auto"/>
              <w:ind w:left="-90" w:firstLine="0"/>
              <w:rPr/>
            </w:pPr>
            <w:r w:rsidDel="00000000" w:rsidR="00000000" w:rsidRPr="00000000">
              <w:rPr>
                <w:rtl w:val="0"/>
              </w:rPr>
              <w:t xml:space="preserve">Liste de lecture</w:t>
            </w:r>
          </w:p>
        </w:tc>
      </w:tr>
      <w:tr>
        <w:trPr>
          <w:cantSplit w:val="0"/>
          <w:trHeight w:val="3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spacing w:after="0" w:before="0" w:line="240" w:lineRule="auto"/>
              <w:ind w:left="-90" w:firstLine="0"/>
              <w:rPr>
                <w:b w:val="1"/>
              </w:rPr>
            </w:pPr>
            <w:r w:rsidDel="00000000" w:rsidR="00000000" w:rsidRPr="00000000">
              <w:rPr>
                <w:b w:val="1"/>
                <w:rtl w:val="0"/>
              </w:rPr>
              <w:t xml:space="preserve">Veuillez apporter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spacing w:after="0" w:before="0" w:line="240" w:lineRule="auto"/>
              <w:ind w:left="-90" w:firstLine="0"/>
              <w:rPr/>
            </w:pPr>
            <w:r w:rsidDel="00000000" w:rsidR="00000000" w:rsidRPr="00000000">
              <w:rPr>
                <w:rtl w:val="0"/>
              </w:rPr>
              <w:t xml:space="preserve">Liste des fournitures</w:t>
            </w:r>
          </w:p>
        </w:tc>
      </w:tr>
    </w:tbl>
    <w:p w:rsidR="00000000" w:rsidDel="00000000" w:rsidP="00000000" w:rsidRDefault="00000000" w:rsidRPr="00000000" w14:paraId="0000000C">
      <w:pPr>
        <w:widowControl w:val="0"/>
        <w:spacing w:after="0" w:before="0" w:lineRule="auto"/>
        <w:rPr/>
      </w:pPr>
      <w:r w:rsidDel="00000000" w:rsidR="00000000" w:rsidRPr="00000000">
        <w:rPr>
          <w:rtl w:val="0"/>
        </w:rPr>
      </w:r>
    </w:p>
    <w:tbl>
      <w:tblPr>
        <w:tblStyle w:val="Table2"/>
        <w:tblW w:w="10181.0" w:type="dxa"/>
        <w:jc w:val="left"/>
        <w:tblInd w:w="-115.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743"/>
        <w:gridCol w:w="5122"/>
        <w:gridCol w:w="2316"/>
        <w:tblGridChange w:id="0">
          <w:tblGrid>
            <w:gridCol w:w="2743"/>
            <w:gridCol w:w="5122"/>
            <w:gridCol w:w="2316"/>
          </w:tblGrid>
        </w:tblGridChange>
      </w:tblGrid>
      <w:tr>
        <w:trPr>
          <w:cantSplit w:val="0"/>
          <w:trHeight w:val="1086" w:hRule="atLeast"/>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0D">
            <w:pPr>
              <w:pStyle w:val="Heading2"/>
              <w:rPr>
                <w:color w:val="000000"/>
              </w:rPr>
            </w:pPr>
            <w:r w:rsidDel="00000000" w:rsidR="00000000" w:rsidRPr="00000000">
              <w:rPr>
                <w:color w:val="000000"/>
                <w:rtl w:val="0"/>
              </w:rPr>
              <w:t xml:space="preserve">08h00 - 10h00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0E">
            <w:pPr>
              <w:pStyle w:val="Heading2"/>
              <w:rPr>
                <w:color w:val="000000"/>
              </w:rPr>
            </w:pPr>
            <w:r w:rsidDel="00000000" w:rsidR="00000000" w:rsidRPr="00000000">
              <w:rPr>
                <w:color w:val="000000"/>
                <w:rtl w:val="0"/>
              </w:rPr>
              <w:t xml:space="preserve">Bilan du premier jour</w:t>
            </w:r>
          </w:p>
          <w:p w:rsidR="00000000" w:rsidDel="00000000" w:rsidP="00000000" w:rsidRDefault="00000000" w:rsidRPr="00000000" w14:paraId="0000000F">
            <w:pPr>
              <w:rPr>
                <w:b w:val="0"/>
                <w:color w:val="000000"/>
              </w:rPr>
            </w:pPr>
            <w:r w:rsidDel="00000000" w:rsidR="00000000" w:rsidRPr="00000000">
              <w:rPr>
                <w:b w:val="0"/>
                <w:color w:val="000000"/>
                <w:rtl w:val="0"/>
              </w:rPr>
              <w:t xml:space="preserve">Vision partagée — </w:t>
            </w:r>
            <w:r w:rsidDel="00000000" w:rsidR="00000000" w:rsidRPr="00000000">
              <w:rPr>
                <w:b w:val="0"/>
                <w:i w:val="1"/>
                <w:color w:val="000000"/>
                <w:rtl w:val="0"/>
              </w:rPr>
              <w:t xml:space="preserve">Où voulons-nous aller ? </w:t>
            </w:r>
            <w:r w:rsidDel="00000000" w:rsidR="00000000" w:rsidRPr="00000000">
              <w:rPr>
                <w:b w:val="0"/>
                <w:color w:val="000000"/>
                <w:rtl w:val="0"/>
              </w:rPr>
              <w:t xml:space="preserve">(</w:t>
            </w:r>
            <w:hyperlink r:id="rId7">
              <w:r w:rsidDel="00000000" w:rsidR="00000000" w:rsidRPr="00000000">
                <w:rPr>
                  <w:b w:val="0"/>
                  <w:color w:val="1155cc"/>
                  <w:u w:val="single"/>
                  <w:rtl w:val="0"/>
                </w:rPr>
                <w:t xml:space="preserve">diapositives 14-21</w:t>
              </w:r>
            </w:hyperlink>
            <w:r w:rsidDel="00000000" w:rsidR="00000000" w:rsidRPr="00000000">
              <w:rPr>
                <w:b w:val="0"/>
                <w:color w:val="000000"/>
                <w:rtl w:val="0"/>
              </w:rPr>
              <w:t xml:space="preserve">)</w:t>
            </w:r>
          </w:p>
          <w:p w:rsidR="00000000" w:rsidDel="00000000" w:rsidP="00000000" w:rsidRDefault="00000000" w:rsidRPr="00000000" w14:paraId="00000010">
            <w:pPr>
              <w:rPr>
                <w:b w:val="0"/>
                <w:color w:val="000000"/>
              </w:rPr>
            </w:pPr>
            <w:r w:rsidDel="00000000" w:rsidR="00000000" w:rsidRPr="00000000">
              <w:rPr>
                <w:b w:val="0"/>
                <w:color w:val="000000"/>
                <w:rtl w:val="0"/>
              </w:rPr>
              <w:t xml:space="preserve">Introduction du processus de CSC (exemple à la page sept du </w:t>
            </w:r>
            <w:hyperlink r:id="rId8">
              <w:r w:rsidDel="00000000" w:rsidR="00000000" w:rsidRPr="00000000">
                <w:rPr>
                  <w:b w:val="0"/>
                  <w:color w:val="1155cc"/>
                  <w:u w:val="single"/>
                  <w:rtl w:val="0"/>
                </w:rPr>
                <w:t xml:space="preserve">Cadre stratégique pour le paludisme CSCC 2018-2030</w:t>
              </w:r>
            </w:hyperlink>
            <w:r w:rsidDel="00000000" w:rsidR="00000000" w:rsidRPr="00000000">
              <w:rPr>
                <w:b w:val="0"/>
                <w:color w:val="000000"/>
                <w:rtl w:val="0"/>
              </w:rPr>
              <w:t xml:space="preserve">)</w:t>
            </w:r>
          </w:p>
          <w:p w:rsidR="00000000" w:rsidDel="00000000" w:rsidP="00000000" w:rsidRDefault="00000000" w:rsidRPr="00000000" w14:paraId="00000011">
            <w:pPr>
              <w:rPr>
                <w:b w:val="0"/>
                <w:color w:val="000000"/>
              </w:rPr>
            </w:pPr>
            <w:r w:rsidDel="00000000" w:rsidR="00000000" w:rsidRPr="00000000">
              <w:rPr>
                <w:b w:val="0"/>
                <w:color w:val="000000"/>
                <w:rtl w:val="0"/>
              </w:rPr>
              <w:t xml:space="preserve">Terminer l’examen des données (s’il n’est pas terminé le premier jour)</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b w:val="0"/>
                <w:color w:val="000000"/>
                <w:rtl w:val="0"/>
              </w:rPr>
              <w:t xml:space="preserve">Intervenants</w:t>
            </w:r>
          </w:p>
        </w:tc>
      </w:tr>
      <w:tr>
        <w:trPr>
          <w:cantSplit w:val="0"/>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3">
            <w:pPr>
              <w:pStyle w:val="Heading2"/>
              <w:rPr>
                <w:color w:val="000000"/>
              </w:rPr>
            </w:pPr>
            <w:r w:rsidDel="00000000" w:rsidR="00000000" w:rsidRPr="00000000">
              <w:rPr>
                <w:color w:val="000000"/>
                <w:rtl w:val="0"/>
              </w:rPr>
              <w:t xml:space="preserve">10h00 - 10h30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4">
            <w:pPr>
              <w:pStyle w:val="Heading2"/>
              <w:rPr>
                <w:color w:val="000000"/>
              </w:rPr>
            </w:pPr>
            <w:r w:rsidDel="00000000" w:rsidR="00000000" w:rsidRPr="00000000">
              <w:rPr>
                <w:color w:val="000000"/>
                <w:rtl w:val="0"/>
              </w:rPr>
              <w:t xml:space="preserve">Pause-café</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rtl w:val="0"/>
              </w:rPr>
            </w:r>
          </w:p>
        </w:tc>
      </w:tr>
      <w:tr>
        <w:trPr>
          <w:cantSplit w:val="0"/>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6">
            <w:pPr>
              <w:pStyle w:val="Heading2"/>
              <w:rPr>
                <w:color w:val="000000"/>
              </w:rPr>
            </w:pPr>
            <w:r w:rsidDel="00000000" w:rsidR="00000000" w:rsidRPr="00000000">
              <w:rPr>
                <w:color w:val="000000"/>
                <w:rtl w:val="0"/>
              </w:rPr>
              <w:t xml:space="preserve">10h30 - 11h30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7">
            <w:pPr>
              <w:pStyle w:val="Heading2"/>
              <w:rPr>
                <w:color w:val="000000"/>
              </w:rPr>
            </w:pPr>
            <w:r w:rsidDel="00000000" w:rsidR="00000000" w:rsidRPr="00000000">
              <w:rPr>
                <w:color w:val="000000"/>
                <w:rtl w:val="0"/>
              </w:rPr>
              <w:t xml:space="preserve">Poursuivre l’analyse des causes profondes (petits groupes) </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b w:val="0"/>
                <w:color w:val="000000"/>
                <w:rtl w:val="0"/>
              </w:rPr>
              <w:t xml:space="preserve">Intervenants</w:t>
            </w:r>
          </w:p>
        </w:tc>
      </w:tr>
      <w:tr>
        <w:trPr>
          <w:cantSplit w:val="0"/>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9">
            <w:pPr>
              <w:pStyle w:val="Heading2"/>
              <w:rPr>
                <w:color w:val="000000"/>
              </w:rPr>
            </w:pPr>
            <w:r w:rsidDel="00000000" w:rsidR="00000000" w:rsidRPr="00000000">
              <w:rPr>
                <w:color w:val="000000"/>
                <w:rtl w:val="0"/>
              </w:rPr>
              <w:t xml:space="preserve">11h30-13 h00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A">
            <w:pPr>
              <w:pStyle w:val="Heading2"/>
              <w:rPr>
                <w:color w:val="000000"/>
              </w:rPr>
            </w:pPr>
            <w:r w:rsidDel="00000000" w:rsidR="00000000" w:rsidRPr="00000000">
              <w:rPr>
                <w:color w:val="000000"/>
                <w:rtl w:val="0"/>
              </w:rPr>
              <w:t xml:space="preserve">Présenter l’analyse des causes profondes (plénière)</w:t>
            </w:r>
          </w:p>
          <w:p w:rsidR="00000000" w:rsidDel="00000000" w:rsidP="00000000" w:rsidRDefault="00000000" w:rsidRPr="00000000" w14:paraId="0000001B">
            <w:pPr>
              <w:rPr>
                <w:b w:val="0"/>
                <w:color w:val="000000"/>
                <w:sz w:val="20"/>
                <w:szCs w:val="20"/>
              </w:rPr>
            </w:pPr>
            <w:r w:rsidDel="00000000" w:rsidR="00000000" w:rsidRPr="00000000">
              <w:rPr>
                <w:b w:val="0"/>
                <w:color w:val="000000"/>
                <w:sz w:val="20"/>
                <w:szCs w:val="20"/>
                <w:rtl w:val="0"/>
              </w:rPr>
              <w:t xml:space="preserve">15 min de présentations avec 15 min de discussion pour chaque groupe</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b w:val="0"/>
                <w:color w:val="000000"/>
                <w:rtl w:val="0"/>
              </w:rPr>
              <w:t xml:space="preserve">Intervenants</w:t>
            </w:r>
          </w:p>
        </w:tc>
      </w:tr>
      <w:tr>
        <w:trPr>
          <w:cantSplit w:val="0"/>
          <w:trHeight w:val="33" w:hRule="atLeast"/>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D">
            <w:pPr>
              <w:pStyle w:val="Heading2"/>
              <w:rPr>
                <w:color w:val="000000"/>
              </w:rPr>
            </w:pPr>
            <w:r w:rsidDel="00000000" w:rsidR="00000000" w:rsidRPr="00000000">
              <w:rPr>
                <w:color w:val="000000"/>
                <w:rtl w:val="0"/>
              </w:rPr>
              <w:t xml:space="preserve">13h00 - 14h00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1E">
            <w:pPr>
              <w:pStyle w:val="Heading2"/>
              <w:rPr>
                <w:color w:val="000000"/>
              </w:rPr>
            </w:pPr>
            <w:r w:rsidDel="00000000" w:rsidR="00000000" w:rsidRPr="00000000">
              <w:rPr>
                <w:color w:val="000000"/>
                <w:rtl w:val="0"/>
              </w:rPr>
              <w:t xml:space="preserve">Déjeuner</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rtl w:val="0"/>
              </w:rPr>
            </w:r>
          </w:p>
        </w:tc>
      </w:tr>
      <w:tr>
        <w:trPr>
          <w:cantSplit w:val="0"/>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20">
            <w:pPr>
              <w:pStyle w:val="Heading2"/>
              <w:rPr>
                <w:color w:val="000000"/>
              </w:rPr>
            </w:pPr>
            <w:r w:rsidDel="00000000" w:rsidR="00000000" w:rsidRPr="00000000">
              <w:rPr>
                <w:color w:val="000000"/>
                <w:rtl w:val="0"/>
              </w:rPr>
              <w:t xml:space="preserve">14h00 - 15h00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21">
            <w:pPr>
              <w:pStyle w:val="Heading2"/>
              <w:rPr>
                <w:color w:val="000000"/>
              </w:rPr>
            </w:pPr>
            <w:r w:rsidDel="00000000" w:rsidR="00000000" w:rsidRPr="00000000">
              <w:rPr>
                <w:color w:val="000000"/>
                <w:rtl w:val="0"/>
              </w:rPr>
              <w:t xml:space="preserve">Vue d’ensemble des éléments de la stratégie de CSC (plénière)</w:t>
            </w:r>
          </w:p>
          <w:p w:rsidR="00000000" w:rsidDel="00000000" w:rsidP="00000000" w:rsidRDefault="00000000" w:rsidRPr="00000000" w14:paraId="00000022">
            <w:pPr>
              <w:rPr>
                <w:b w:val="0"/>
                <w:color w:val="000000"/>
              </w:rPr>
            </w:pPr>
            <w:r w:rsidDel="00000000" w:rsidR="00000000" w:rsidRPr="00000000">
              <w:rPr>
                <w:b w:val="0"/>
                <w:color w:val="000000"/>
                <w:rtl w:val="0"/>
              </w:rPr>
              <w:t xml:space="preserve">Discussion des comportements prioritaires de chaque groupe thématique. Consensus du groupe sur les comportements les plus prioritaires (peut varier selon la zone de transmission).</w:t>
            </w:r>
          </w:p>
          <w:p w:rsidR="00000000" w:rsidDel="00000000" w:rsidP="00000000" w:rsidRDefault="00000000" w:rsidRPr="00000000" w14:paraId="00000023">
            <w:pPr>
              <w:rPr>
                <w:b w:val="0"/>
                <w:color w:val="000000"/>
              </w:rPr>
            </w:pPr>
            <w:r w:rsidDel="00000000" w:rsidR="00000000" w:rsidRPr="00000000">
              <w:rPr>
                <w:b w:val="0"/>
                <w:color w:val="000000"/>
                <w:u w:val="single"/>
                <w:rtl w:val="0"/>
              </w:rPr>
              <w:t xml:space="preserve">Résultats de la session</w:t>
            </w:r>
            <w:r w:rsidDel="00000000" w:rsidR="00000000" w:rsidRPr="00000000">
              <w:rPr>
                <w:b w:val="0"/>
                <w:color w:val="000000"/>
                <w:rtl w:val="0"/>
              </w:rPr>
              <w:t xml:space="preserve"> : Consensus sur les comportements prioritaires et les causes profondes correspondantes</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b w:val="0"/>
                <w:color w:val="000000"/>
                <w:rtl w:val="0"/>
              </w:rPr>
              <w:t xml:space="preserve">Intervenants</w:t>
            </w:r>
          </w:p>
        </w:tc>
      </w:tr>
      <w:tr>
        <w:trPr>
          <w:cantSplit w:val="0"/>
          <w:trHeight w:val="294" w:hRule="atLeast"/>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25">
            <w:pPr>
              <w:pStyle w:val="Heading2"/>
              <w:rPr>
                <w:color w:val="000000"/>
              </w:rPr>
            </w:pPr>
            <w:r w:rsidDel="00000000" w:rsidR="00000000" w:rsidRPr="00000000">
              <w:rPr>
                <w:color w:val="000000"/>
                <w:rtl w:val="0"/>
              </w:rPr>
              <w:t xml:space="preserve">15h00 – 15h30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26">
            <w:pPr>
              <w:pStyle w:val="Heading2"/>
              <w:rPr>
                <w:color w:val="000000"/>
              </w:rPr>
            </w:pPr>
            <w:r w:rsidDel="00000000" w:rsidR="00000000" w:rsidRPr="00000000">
              <w:rPr>
                <w:color w:val="000000"/>
                <w:rtl w:val="0"/>
              </w:rPr>
              <w:t xml:space="preserve">Pause-café</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rtl w:val="0"/>
              </w:rPr>
            </w:r>
          </w:p>
        </w:tc>
      </w:tr>
      <w:tr>
        <w:trPr>
          <w:cantSplit w:val="0"/>
          <w:trHeight w:val="1140" w:hRule="atLeast"/>
          <w:tblHeader w:val="0"/>
        </w:trPr>
        <w:tc>
          <w:tcPr>
            <w:tcBorders>
              <w:top w:color="cccccc" w:space="0" w:sz="8" w:val="single"/>
              <w:left w:color="ffffff" w:space="0" w:sz="24"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28">
            <w:pPr>
              <w:pStyle w:val="Heading2"/>
              <w:rPr>
                <w:color w:val="000000"/>
              </w:rPr>
            </w:pPr>
            <w:r w:rsidDel="00000000" w:rsidR="00000000" w:rsidRPr="00000000">
              <w:rPr>
                <w:color w:val="000000"/>
                <w:rtl w:val="0"/>
              </w:rPr>
              <w:t xml:space="preserve">15h30 – 17h00</w:t>
            </w:r>
          </w:p>
        </w:tc>
        <w:tc>
          <w:tcPr>
            <w:tcBorders>
              <w:top w:color="cccccc" w:space="0" w:sz="8" w:val="single"/>
              <w:left w:color="ffffff" w:space="0" w:sz="6" w:val="single"/>
              <w:bottom w:color="cccccc" w:space="0" w:sz="8" w:val="single"/>
              <w:right w:color="ffffff" w:space="0" w:sz="6" w:val="single"/>
            </w:tcBorders>
            <w:tcMar>
              <w:top w:w="144.0" w:type="dxa"/>
              <w:left w:w="115.0" w:type="dxa"/>
              <w:bottom w:w="144.0" w:type="dxa"/>
              <w:right w:w="115.0" w:type="dxa"/>
            </w:tcMar>
          </w:tcPr>
          <w:p w:rsidR="00000000" w:rsidDel="00000000" w:rsidP="00000000" w:rsidRDefault="00000000" w:rsidRPr="00000000" w14:paraId="00000029">
            <w:pPr>
              <w:pStyle w:val="Heading2"/>
              <w:spacing w:before="60" w:line="178" w:lineRule="auto"/>
              <w:rPr>
                <w:color w:val="000000"/>
              </w:rPr>
            </w:pPr>
            <w:bookmarkStart w:colFirst="0" w:colLast="0" w:name="_heading=h.gjdgxs" w:id="0"/>
            <w:bookmarkEnd w:id="0"/>
            <w:r w:rsidDel="00000000" w:rsidR="00000000" w:rsidRPr="00000000">
              <w:rPr>
                <w:color w:val="000000"/>
                <w:rtl w:val="0"/>
              </w:rPr>
              <w:t xml:space="preserve">Plans d’intervention spécifiques (travail en petits groupes)</w:t>
            </w:r>
          </w:p>
          <w:p w:rsidR="00000000" w:rsidDel="00000000" w:rsidP="00000000" w:rsidRDefault="00000000" w:rsidRPr="00000000" w14:paraId="0000002A">
            <w:pPr>
              <w:rPr>
                <w:b w:val="0"/>
                <w:color w:val="000000"/>
              </w:rPr>
            </w:pPr>
            <w:r w:rsidDel="00000000" w:rsidR="00000000" w:rsidRPr="00000000">
              <w:rPr>
                <w:b w:val="0"/>
                <w:color w:val="000000"/>
                <w:rtl w:val="0"/>
              </w:rPr>
              <w:t xml:space="preserve">Utiliser des fiches de données et des récits avec des fiches de données, une analyse des causes profondes et les principes énoncés dans la vision commune pour élaborer des plans d’intervention spécifiques pour chaque comportement prioritaire. Utiliser la feuille de travail correspondante de chaque groupe pour compléter les plans d’intervention spécifiques (qui comprennent des analyses de situation et de comportement)</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before="60" w:line="276" w:lineRule="auto"/>
              <w:ind w:left="720" w:hanging="360"/>
              <w:rPr>
                <w:b w:val="0"/>
                <w:color w:val="000000"/>
                <w:sz w:val="20"/>
                <w:szCs w:val="20"/>
              </w:rPr>
            </w:pPr>
            <w:r w:rsidDel="00000000" w:rsidR="00000000" w:rsidRPr="00000000">
              <w:rPr>
                <w:b w:val="0"/>
                <w:color w:val="000000"/>
                <w:sz w:val="20"/>
                <w:szCs w:val="20"/>
                <w:rtl w:val="0"/>
              </w:rPr>
              <w:t xml:space="preserve">Paludisme pendant la grossesse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276" w:lineRule="auto"/>
              <w:ind w:left="720" w:hanging="360"/>
              <w:rPr>
                <w:b w:val="0"/>
                <w:color w:val="000000"/>
                <w:sz w:val="20"/>
                <w:szCs w:val="20"/>
              </w:rPr>
            </w:pPr>
            <w:r w:rsidDel="00000000" w:rsidR="00000000" w:rsidRPr="00000000">
              <w:rPr>
                <w:b w:val="0"/>
                <w:color w:val="000000"/>
                <w:sz w:val="20"/>
                <w:szCs w:val="20"/>
                <w:rtl w:val="0"/>
              </w:rPr>
              <w:t xml:space="preserve">Gestion de cas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60" w:line="276" w:lineRule="auto"/>
              <w:ind w:left="720" w:hanging="360"/>
              <w:rPr>
                <w:b w:val="0"/>
                <w:color w:val="000000"/>
                <w:sz w:val="20"/>
                <w:szCs w:val="20"/>
              </w:rPr>
            </w:pPr>
            <w:r w:rsidDel="00000000" w:rsidR="00000000" w:rsidRPr="00000000">
              <w:rPr>
                <w:b w:val="0"/>
                <w:color w:val="000000"/>
                <w:sz w:val="20"/>
                <w:szCs w:val="20"/>
                <w:rtl w:val="0"/>
              </w:rPr>
              <w:t xml:space="preserve">Lutte contre les vecteurs </w:t>
            </w:r>
          </w:p>
          <w:p w:rsidR="00000000" w:rsidDel="00000000" w:rsidP="00000000" w:rsidRDefault="00000000" w:rsidRPr="00000000" w14:paraId="0000002E">
            <w:pPr>
              <w:rPr>
                <w:b w:val="0"/>
                <w:color w:val="000000"/>
              </w:rPr>
            </w:pPr>
            <w:bookmarkStart w:colFirst="0" w:colLast="0" w:name="_heading=h.30j0zll" w:id="1"/>
            <w:bookmarkEnd w:id="1"/>
            <w:r w:rsidDel="00000000" w:rsidR="00000000" w:rsidRPr="00000000">
              <w:rPr>
                <w:b w:val="0"/>
                <w:color w:val="000000"/>
                <w:u w:val="single"/>
                <w:rtl w:val="0"/>
              </w:rPr>
              <w:t xml:space="preserve">Résultat de la session :</w:t>
            </w:r>
            <w:r w:rsidDel="00000000" w:rsidR="00000000" w:rsidRPr="00000000">
              <w:rPr>
                <w:b w:val="0"/>
                <w:color w:val="000000"/>
                <w:rtl w:val="0"/>
              </w:rPr>
              <w:t xml:space="preserve"> projets de plans d’intervention spécifiques (analyses de situation et de comportement)</w:t>
            </w:r>
          </w:p>
        </w:tc>
        <w:tc>
          <w:tcPr>
            <w:tcBorders>
              <w:top w:color="cccccc" w:space="0" w:sz="8" w:val="single"/>
              <w:left w:color="ffffff" w:space="0" w:sz="6" w:val="single"/>
              <w:bottom w:color="cccccc" w:space="0" w:sz="8" w:val="single"/>
              <w:right w:color="ffffff" w:space="0" w:sz="24" w:val="single"/>
            </w:tcBorders>
            <w:tcMar>
              <w:top w:w="144.0" w:type="dxa"/>
              <w:left w:w="115.0" w:type="dxa"/>
              <w:bottom w:w="144.0" w:type="dxa"/>
              <w:right w:w="115.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60" w:before="60" w:line="276" w:lineRule="auto"/>
              <w:jc w:val="right"/>
              <w:rPr>
                <w:b w:val="0"/>
                <w:color w:val="000000"/>
              </w:rPr>
            </w:pPr>
            <w:r w:rsidDel="00000000" w:rsidR="00000000" w:rsidRPr="00000000">
              <w:rPr>
                <w:b w:val="0"/>
                <w:color w:val="000000"/>
                <w:rtl w:val="0"/>
              </w:rPr>
              <w:t xml:space="preserve">Intervenants</w:t>
            </w:r>
          </w:p>
        </w:tc>
      </w:tr>
    </w:tbl>
    <w:p w:rsidR="00000000" w:rsidDel="00000000" w:rsidP="00000000" w:rsidRDefault="00000000" w:rsidRPr="00000000" w14:paraId="00000030">
      <w:pPr>
        <w:widowControl w:val="0"/>
        <w:spacing w:after="200" w:before="0" w:line="288" w:lineRule="auto"/>
        <w:rPr/>
      </w:pPr>
      <w:r w:rsidDel="00000000" w:rsidR="00000000" w:rsidRPr="00000000">
        <w:rPr>
          <w:rFonts w:ascii="Calibri" w:cs="Calibri" w:eastAsia="Calibri" w:hAnsi="Calibri"/>
          <w:color w:val="545454"/>
          <w:highlight w:val="white"/>
          <w:rtl w:val="0"/>
        </w:rPr>
        <w:t xml:space="preserve">Cette ressource fait partie de la </w:t>
      </w:r>
      <w:hyperlink r:id="rId9">
        <w:r w:rsidDel="00000000" w:rsidR="00000000" w:rsidRPr="00000000">
          <w:rPr>
            <w:rFonts w:ascii="Calibri" w:cs="Calibri" w:eastAsia="Calibri" w:hAnsi="Calibri"/>
            <w:color w:val="1155cc"/>
            <w:highlight w:val="white"/>
            <w:u w:val="single"/>
            <w:rtl w:val="0"/>
          </w:rPr>
          <w:t xml:space="preserve">boîte à outils pour le développement de la stratégie de CSC en matière de paludisme</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spacing w:after="100" w:before="300" w:lineRule="auto"/>
    </w:pPr>
    <w:rPr>
      <w:b w:val="1"/>
    </w:rPr>
  </w:style>
  <w:style w:type="paragraph" w:styleId="Heading5">
    <w:name w:val="heading 5"/>
    <w:basedOn w:val="Normal"/>
    <w:next w:val="Normal"/>
    <w:pPr>
      <w:keepNext w:val="1"/>
      <w:keepLines w:val="1"/>
      <w:spacing w:after="0" w:before="40" w:lineRule="auto"/>
    </w:pPr>
    <w:rPr>
      <w:color w:val="366091"/>
    </w:rPr>
  </w:style>
  <w:style w:type="paragraph" w:styleId="Heading6">
    <w:name w:val="heading 6"/>
    <w:basedOn w:val="Normal"/>
    <w:next w:val="Normal"/>
    <w:pPr>
      <w:keepNext w:val="1"/>
      <w:keepLines w:val="1"/>
      <w:spacing w:after="0" w:before="40" w:lineRule="auto"/>
    </w:pPr>
    <w:rPr>
      <w:color w:val="243f61"/>
    </w:rPr>
  </w:style>
  <w:style w:type="paragraph" w:styleId="Title">
    <w:name w:val="Title"/>
    <w:basedOn w:val="Normal"/>
    <w:next w:val="Normal"/>
    <w:pPr>
      <w:spacing w:after="80" w:before="240" w:lineRule="auto"/>
      <w:jc w:val="right"/>
    </w:pPr>
    <w:rPr>
      <w:b w:val="1"/>
      <w:smallCaps w:val="1"/>
      <w:color w:val="404040"/>
      <w:sz w:val="56"/>
      <w:szCs w:val="56"/>
    </w:rPr>
  </w:style>
  <w:style w:type="paragraph" w:styleId="Normal" w:default="1">
    <w:name w:val="Normal"/>
  </w:style>
  <w:style w:type="paragraph" w:styleId="Titre1">
    <w:name w:val="heading 1"/>
    <w:basedOn w:val="Normal"/>
    <w:next w:val="Normal"/>
    <w:pPr>
      <w:keepNext w:val="1"/>
      <w:spacing w:before="240"/>
      <w:outlineLvl w:val="0"/>
    </w:pPr>
    <w:rPr>
      <w:b w:val="1"/>
      <w:sz w:val="28"/>
      <w:szCs w:val="28"/>
    </w:rPr>
  </w:style>
  <w:style w:type="paragraph" w:styleId="Titre2">
    <w:name w:val="heading 2"/>
    <w:basedOn w:val="Normal"/>
    <w:next w:val="Normal"/>
    <w:pPr>
      <w:spacing w:after="200"/>
      <w:outlineLvl w:val="1"/>
    </w:pPr>
    <w:rPr>
      <w:b w:val="1"/>
    </w:rPr>
  </w:style>
  <w:style w:type="paragraph" w:styleId="Titre3">
    <w:name w:val="heading 3"/>
    <w:basedOn w:val="Normal"/>
    <w:next w:val="Normal"/>
    <w:pPr>
      <w:outlineLvl w:val="2"/>
    </w:pPr>
    <w:rPr>
      <w:b w:val="1"/>
    </w:rPr>
  </w:style>
  <w:style w:type="paragraph" w:styleId="Titre4">
    <w:name w:val="heading 4"/>
    <w:basedOn w:val="Normal"/>
    <w:next w:val="Normal"/>
    <w:pPr>
      <w:keepNext w:val="1"/>
      <w:keepLines w:val="1"/>
      <w:spacing w:after="100" w:before="300"/>
      <w:outlineLvl w:val="3"/>
    </w:pPr>
    <w:rPr>
      <w:b w:val="1"/>
    </w:rPr>
  </w:style>
  <w:style w:type="paragraph" w:styleId="Titre5">
    <w:name w:val="heading 5"/>
    <w:basedOn w:val="Normal"/>
    <w:next w:val="Normal"/>
    <w:pPr>
      <w:keepNext w:val="1"/>
      <w:keepLines w:val="1"/>
      <w:spacing w:after="0" w:before="40"/>
      <w:outlineLvl w:val="4"/>
    </w:pPr>
    <w:rPr>
      <w:color w:val="366091"/>
    </w:rPr>
  </w:style>
  <w:style w:type="paragraph" w:styleId="Titre6">
    <w:name w:val="heading 6"/>
    <w:basedOn w:val="Normal"/>
    <w:next w:val="Normal"/>
    <w:pPr>
      <w:keepNext w:val="1"/>
      <w:keepLines w:val="1"/>
      <w:spacing w:after="0" w:before="40"/>
      <w:outlineLvl w:val="5"/>
    </w:pPr>
    <w:rPr>
      <w:color w:val="243f6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pPr>
      <w:spacing w:after="80" w:before="240"/>
      <w:jc w:val="right"/>
    </w:pPr>
    <w:rPr>
      <w:b w:val="1"/>
      <w:smallCaps w:val="1"/>
      <w:color w:val="404040"/>
      <w:sz w:val="56"/>
      <w:szCs w:val="56"/>
    </w:rPr>
  </w:style>
  <w:style w:type="paragraph" w:styleId="Sous-titre">
    <w:name w:val="Subtitle"/>
    <w:basedOn w:val="Normal"/>
    <w:next w:val="Normal"/>
    <w:pPr>
      <w:spacing w:after="160"/>
    </w:pPr>
    <w:rPr>
      <w:color w:val="5a5a5a"/>
    </w:rPr>
  </w:style>
  <w:style w:type="table" w:styleId="Table1" w:customStyle="1">
    <w:name w:val="Table1"/>
    <w:basedOn w:val="TableauNormal"/>
    <w:tblPr>
      <w:tblStyleRowBandSize w:val="1"/>
      <w:tblStyleColBandSize w:val="1"/>
      <w:tblCellMar>
        <w:top w:w="100.0" w:type="dxa"/>
        <w:left w:w="100.0" w:type="dxa"/>
        <w:bottom w:w="100.0" w:type="dxa"/>
        <w:right w:w="100.0" w:type="dxa"/>
      </w:tblCellMar>
    </w:tblPr>
  </w:style>
  <w:style w:type="table" w:styleId="Table2" w:customStyle="1">
    <w:name w:val="Table2"/>
    <w:basedOn w:val="TableauNormal"/>
    <w:pPr>
      <w:spacing w:after="0" w:before="0" w:line="240" w:lineRule="auto"/>
    </w:pPr>
    <w:rPr>
      <w:b w:val="1"/>
      <w:color w:val="ffffff"/>
    </w:rPr>
    <w:tblPr>
      <w:tblStyleRowBandSize w:val="1"/>
      <w:tblStyleColBandSize w:val="1"/>
      <w:tblCellMar>
        <w:left w:w="115.0" w:type="dxa"/>
        <w:right w:w="115.0" w:type="dxa"/>
      </w:tblCellMar>
    </w:tblPr>
    <w:tcPr>
      <w:shd w:color="auto" w:fill="auto" w:val="clear"/>
    </w:tcPr>
  </w:style>
  <w:style w:type="paragraph" w:styleId="En-tte">
    <w:name w:val="header"/>
    <w:basedOn w:val="Normal"/>
    <w:link w:val="En-tteCar"/>
    <w:uiPriority w:val="99"/>
    <w:unhideWhenUsed w:val="1"/>
    <w:rsid w:val="00A158D1"/>
    <w:pPr>
      <w:tabs>
        <w:tab w:val="center" w:pos="4536"/>
        <w:tab w:val="right" w:pos="9072"/>
      </w:tabs>
      <w:spacing w:after="0" w:before="0" w:line="240" w:lineRule="auto"/>
    </w:pPr>
  </w:style>
  <w:style w:type="character" w:styleId="En-tteCar" w:customStyle="1">
    <w:name w:val="En-tête Car"/>
    <w:basedOn w:val="Policepardfaut"/>
    <w:link w:val="En-tte"/>
    <w:uiPriority w:val="99"/>
    <w:rsid w:val="00A158D1"/>
  </w:style>
  <w:style w:type="paragraph" w:styleId="Pieddepage">
    <w:name w:val="footer"/>
    <w:basedOn w:val="Normal"/>
    <w:link w:val="PieddepageCar"/>
    <w:uiPriority w:val="99"/>
    <w:unhideWhenUsed w:val="1"/>
    <w:rsid w:val="00A158D1"/>
    <w:pPr>
      <w:tabs>
        <w:tab w:val="center" w:pos="4536"/>
        <w:tab w:val="right" w:pos="9072"/>
      </w:tabs>
      <w:spacing w:after="0" w:before="0" w:line="240" w:lineRule="auto"/>
    </w:pPr>
  </w:style>
  <w:style w:type="character" w:styleId="PieddepageCar" w:customStyle="1">
    <w:name w:val="Pied de page Car"/>
    <w:basedOn w:val="Policepardfaut"/>
    <w:link w:val="Pieddepage"/>
    <w:uiPriority w:val="99"/>
    <w:rsid w:val="00A158D1"/>
  </w:style>
  <w:style w:type="paragraph" w:styleId="Subtitle">
    <w:name w:val="Subtitle"/>
    <w:basedOn w:val="Normal"/>
    <w:next w:val="Normal"/>
    <w:pPr>
      <w:spacing w:after="160" w:lineRule="auto"/>
    </w:pPr>
    <w:rPr>
      <w:color w:val="5a5a5a"/>
    </w:rPr>
  </w:style>
  <w:style w:type="table" w:styleId="Table1">
    <w:basedOn w:val="TableNormal"/>
    <w:pPr>
      <w:spacing w:after="0" w:before="0" w:line="240" w:lineRule="auto"/>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before="0" w:line="240" w:lineRule="auto"/>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paJiNjmiHdVtfI25BZSCfpk1HV61ygcL?usp=sharin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9Zhk66mvBHK0JymtC1lGofvgH4KGQ57KCTngObXSWW4/edit?usp=sharing" TargetMode="External"/><Relationship Id="rId8" Type="http://schemas.openxmlformats.org/officeDocument/2006/relationships/hyperlink" Target="https://endmalaria.org/sites/default/files/RBM%20SBCC%20Framework%202018-2030%20French.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3Wmt/J93iNAukxLn5OD6A4Qw==">CgMxLjAyCGguZ2pkZ3hzMgloLjMwajB6bGw4AHIhMXgtc2RWNjdQdDRoTmVPTW5SV3JIaUtKcnBWTmtMQVlu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2020-11-07T23:55:00Z</dcterms:created>
</cp:coreProperties>
</file>