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DIA 2 ORDEM DO DIA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Seminário de partes interessadas da estratégia de Mudança Social e Comportamental relativamente à malária</w:t>
      </w:r>
    </w:p>
    <w:p w:rsidR="00000000" w:rsidDel="00000000" w:rsidP="00000000" w:rsidRDefault="00000000" w:rsidRPr="00000000" w14:paraId="00000003">
      <w:pPr>
        <w:pStyle w:val="Heading2"/>
        <w:spacing w:after="0" w:lineRule="auto"/>
        <w:rPr/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004">
      <w:pPr>
        <w:pStyle w:val="Heading2"/>
        <w:spacing w:before="0" w:lineRule="auto"/>
        <w:rPr/>
      </w:pPr>
      <w:r w:rsidDel="00000000" w:rsidR="00000000" w:rsidRPr="00000000">
        <w:rPr>
          <w:rtl w:val="0"/>
        </w:rPr>
        <w:t xml:space="preserve">Hora de início - Hora de fim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Reunião convocada por Nome do Facilitador</w:t>
      </w:r>
    </w:p>
    <w:tbl>
      <w:tblPr>
        <w:tblStyle w:val="Table1"/>
        <w:tblW w:w="100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8175"/>
        <w:tblGridChange w:id="0">
          <w:tblGrid>
            <w:gridCol w:w="1905"/>
            <w:gridCol w:w="817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ind w:left="-9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Participantes: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  <w:t xml:space="preserve">Nomes dos participantes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ind w:left="-9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Ler: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  <w:t xml:space="preserve">Lista de Leitura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ind w:left="-9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Trazer: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  <w:t xml:space="preserve">Lista de Fornecimento</w:t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81.0" w:type="dxa"/>
        <w:jc w:val="left"/>
        <w:tblInd w:w="-23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743"/>
        <w:gridCol w:w="5122"/>
        <w:gridCol w:w="2316"/>
        <w:tblGridChange w:id="0">
          <w:tblGrid>
            <w:gridCol w:w="2743"/>
            <w:gridCol w:w="5122"/>
            <w:gridCol w:w="2316"/>
          </w:tblGrid>
        </w:tblGridChange>
      </w:tblGrid>
      <w:tr>
        <w:trPr>
          <w:cantSplit w:val="0"/>
          <w:trHeight w:val="1086" w:hRule="atLeast"/>
          <w:tblHeader w:val="0"/>
        </w:trPr>
        <w:tc>
          <w:tcPr>
            <w:tcBorders>
              <w:top w:color="cccccc" w:space="0" w:sz="8" w:val="single"/>
              <w:left w:color="ffffff" w:space="0" w:sz="24" w:val="single"/>
              <w:bottom w:color="cccccc" w:space="0" w:sz="8" w:val="single"/>
              <w:right w:color="ffffff" w:space="0" w:sz="6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pStyle w:val="Heading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8:00-10:00</w:t>
            </w:r>
          </w:p>
        </w:tc>
        <w:tc>
          <w:tcPr>
            <w:tcBorders>
              <w:top w:color="cccccc" w:space="0" w:sz="8" w:val="single"/>
              <w:left w:color="ffffff" w:space="0" w:sz="6" w:val="single"/>
              <w:bottom w:color="cccccc" w:space="0" w:sz="8" w:val="single"/>
              <w:right w:color="ffffff" w:space="0" w:sz="6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pStyle w:val="Heading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Revisão do Dia 1</w:t>
            </w:r>
          </w:p>
          <w:p w:rsidR="00000000" w:rsidDel="00000000" w:rsidP="00000000" w:rsidRDefault="00000000" w:rsidRPr="00000000" w14:paraId="0000000F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Visão partilhada - </w:t>
            </w:r>
            <w:r w:rsidDel="00000000" w:rsidR="00000000" w:rsidRPr="00000000">
              <w:rPr>
                <w:b w:val="0"/>
                <w:i w:val="1"/>
                <w:color w:val="000000"/>
                <w:rtl w:val="0"/>
              </w:rPr>
              <w:t xml:space="preserve">Para onde queremos ir?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(</w:t>
            </w:r>
            <w:hyperlink r:id="rId7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diapositivos 14-21</w:t>
              </w:r>
            </w:hyperlink>
            <w:r w:rsidDel="00000000" w:rsidR="00000000" w:rsidRPr="00000000">
              <w:rPr>
                <w:b w:val="0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Introdução ao processo da Mudança Social e Comportamental (exemplo na página sete do </w:t>
            </w:r>
            <w:hyperlink r:id="rId8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Quadro Estratégico para a Malária SBCC 2018-2030</w:t>
              </w:r>
            </w:hyperlink>
            <w:r w:rsidDel="00000000" w:rsidR="00000000" w:rsidRPr="00000000">
              <w:rPr>
                <w:b w:val="0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1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Finalizar revisão dos dados (se não estiverem concluídos no Dia 1)</w:t>
            </w:r>
          </w:p>
        </w:tc>
        <w:tc>
          <w:tcPr>
            <w:tcBorders>
              <w:top w:color="cccccc" w:space="0" w:sz="8" w:val="single"/>
              <w:left w:color="ffffff" w:space="0" w:sz="6" w:val="single"/>
              <w:bottom w:color="cccccc" w:space="0" w:sz="8" w:val="single"/>
              <w:right w:color="ffffff" w:space="0" w:sz="24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jc w:val="righ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Oradores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ffffff" w:space="0" w:sz="24" w:val="single"/>
              <w:bottom w:color="cccccc" w:space="0" w:sz="8" w:val="single"/>
              <w:right w:color="ffffff" w:space="0" w:sz="6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pStyle w:val="Heading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10:00-10:30</w:t>
            </w:r>
          </w:p>
        </w:tc>
        <w:tc>
          <w:tcPr>
            <w:tcBorders>
              <w:top w:color="cccccc" w:space="0" w:sz="8" w:val="single"/>
              <w:left w:color="ffffff" w:space="0" w:sz="6" w:val="single"/>
              <w:bottom w:color="cccccc" w:space="0" w:sz="8" w:val="single"/>
              <w:right w:color="ffffff" w:space="0" w:sz="6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pStyle w:val="Heading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Intervalo para café</w:t>
            </w:r>
          </w:p>
        </w:tc>
        <w:tc>
          <w:tcPr>
            <w:tcBorders>
              <w:top w:color="cccccc" w:space="0" w:sz="8" w:val="single"/>
              <w:left w:color="ffffff" w:space="0" w:sz="6" w:val="single"/>
              <w:bottom w:color="cccccc" w:space="0" w:sz="8" w:val="single"/>
              <w:right w:color="ffffff" w:space="0" w:sz="24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jc w:val="right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ffffff" w:space="0" w:sz="24" w:val="single"/>
              <w:bottom w:color="cccccc" w:space="0" w:sz="8" w:val="single"/>
              <w:right w:color="ffffff" w:space="0" w:sz="6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pStyle w:val="Heading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10:30-11:30</w:t>
            </w:r>
          </w:p>
        </w:tc>
        <w:tc>
          <w:tcPr>
            <w:tcBorders>
              <w:top w:color="cccccc" w:space="0" w:sz="8" w:val="single"/>
              <w:left w:color="ffffff" w:space="0" w:sz="6" w:val="single"/>
              <w:bottom w:color="cccccc" w:space="0" w:sz="8" w:val="single"/>
              <w:right w:color="ffffff" w:space="0" w:sz="6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pStyle w:val="Heading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Continuar a análise da causa raiz (pequenos grupos) </w:t>
            </w:r>
          </w:p>
        </w:tc>
        <w:tc>
          <w:tcPr>
            <w:tcBorders>
              <w:top w:color="cccccc" w:space="0" w:sz="8" w:val="single"/>
              <w:left w:color="ffffff" w:space="0" w:sz="6" w:val="single"/>
              <w:bottom w:color="cccccc" w:space="0" w:sz="8" w:val="single"/>
              <w:right w:color="ffffff" w:space="0" w:sz="24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jc w:val="righ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Oradores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ffffff" w:space="0" w:sz="24" w:val="single"/>
              <w:bottom w:color="cccccc" w:space="0" w:sz="8" w:val="single"/>
              <w:right w:color="ffffff" w:space="0" w:sz="6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pStyle w:val="Heading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11:30-13:00</w:t>
            </w:r>
          </w:p>
        </w:tc>
        <w:tc>
          <w:tcPr>
            <w:tcBorders>
              <w:top w:color="cccccc" w:space="0" w:sz="8" w:val="single"/>
              <w:left w:color="ffffff" w:space="0" w:sz="6" w:val="single"/>
              <w:bottom w:color="cccccc" w:space="0" w:sz="8" w:val="single"/>
              <w:right w:color="ffffff" w:space="0" w:sz="6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pStyle w:val="Heading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Análise da causa raiz atual (plenário)</w:t>
            </w:r>
          </w:p>
          <w:p w:rsidR="00000000" w:rsidDel="00000000" w:rsidP="00000000" w:rsidRDefault="00000000" w:rsidRPr="00000000" w14:paraId="0000001B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15 minutos de apresentações com 15 minutos de debate para cada grupo</w:t>
            </w:r>
          </w:p>
        </w:tc>
        <w:tc>
          <w:tcPr>
            <w:tcBorders>
              <w:top w:color="cccccc" w:space="0" w:sz="8" w:val="single"/>
              <w:left w:color="ffffff" w:space="0" w:sz="6" w:val="single"/>
              <w:bottom w:color="cccccc" w:space="0" w:sz="8" w:val="single"/>
              <w:right w:color="ffffff" w:space="0" w:sz="24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jc w:val="righ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Oradores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top w:color="cccccc" w:space="0" w:sz="8" w:val="single"/>
              <w:left w:color="ffffff" w:space="0" w:sz="24" w:val="single"/>
              <w:bottom w:color="cccccc" w:space="0" w:sz="8" w:val="single"/>
              <w:right w:color="ffffff" w:space="0" w:sz="6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pStyle w:val="Heading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13:00-14:00</w:t>
            </w:r>
          </w:p>
        </w:tc>
        <w:tc>
          <w:tcPr>
            <w:tcBorders>
              <w:top w:color="cccccc" w:space="0" w:sz="8" w:val="single"/>
              <w:left w:color="ffffff" w:space="0" w:sz="6" w:val="single"/>
              <w:bottom w:color="cccccc" w:space="0" w:sz="8" w:val="single"/>
              <w:right w:color="ffffff" w:space="0" w:sz="6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pStyle w:val="Heading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Almoço</w:t>
            </w:r>
          </w:p>
        </w:tc>
        <w:tc>
          <w:tcPr>
            <w:tcBorders>
              <w:top w:color="cccccc" w:space="0" w:sz="8" w:val="single"/>
              <w:left w:color="ffffff" w:space="0" w:sz="6" w:val="single"/>
              <w:bottom w:color="cccccc" w:space="0" w:sz="8" w:val="single"/>
              <w:right w:color="ffffff" w:space="0" w:sz="24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jc w:val="right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ffffff" w:space="0" w:sz="24" w:val="single"/>
              <w:bottom w:color="cccccc" w:space="0" w:sz="8" w:val="single"/>
              <w:right w:color="ffffff" w:space="0" w:sz="6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pStyle w:val="Heading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14:00-15:00</w:t>
            </w:r>
          </w:p>
        </w:tc>
        <w:tc>
          <w:tcPr>
            <w:tcBorders>
              <w:top w:color="cccccc" w:space="0" w:sz="8" w:val="single"/>
              <w:left w:color="ffffff" w:space="0" w:sz="6" w:val="single"/>
              <w:bottom w:color="cccccc" w:space="0" w:sz="8" w:val="single"/>
              <w:right w:color="ffffff" w:space="0" w:sz="6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pStyle w:val="Heading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Visão geral dos elementos estratégicos da Mudança Social e Comportamental (plenário)</w:t>
            </w:r>
          </w:p>
          <w:p w:rsidR="00000000" w:rsidDel="00000000" w:rsidP="00000000" w:rsidRDefault="00000000" w:rsidRPr="00000000" w14:paraId="0000002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Discussão dos comportamentos prioritários de cada grupo temático. Consenso de grupo sobre comportamentos de prioridade máxima (pode variar por zona de transmissão).</w:t>
            </w:r>
          </w:p>
          <w:p w:rsidR="00000000" w:rsidDel="00000000" w:rsidP="00000000" w:rsidRDefault="00000000" w:rsidRPr="00000000" w14:paraId="0000002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u w:val="single"/>
                <w:rtl w:val="0"/>
              </w:rPr>
              <w:t xml:space="preserve">Resultado da sessão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: Consenso sobre comportamentos prioritários e respetivas causas raiz</w:t>
            </w:r>
          </w:p>
        </w:tc>
        <w:tc>
          <w:tcPr>
            <w:tcBorders>
              <w:top w:color="cccccc" w:space="0" w:sz="8" w:val="single"/>
              <w:left w:color="ffffff" w:space="0" w:sz="6" w:val="single"/>
              <w:bottom w:color="cccccc" w:space="0" w:sz="8" w:val="single"/>
              <w:right w:color="ffffff" w:space="0" w:sz="24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jc w:val="righ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Oradores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cccccc" w:space="0" w:sz="8" w:val="single"/>
              <w:left w:color="ffffff" w:space="0" w:sz="24" w:val="single"/>
              <w:bottom w:color="cccccc" w:space="0" w:sz="8" w:val="single"/>
              <w:right w:color="ffffff" w:space="0" w:sz="6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pStyle w:val="Heading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15:00-15:30</w:t>
            </w:r>
          </w:p>
        </w:tc>
        <w:tc>
          <w:tcPr>
            <w:tcBorders>
              <w:top w:color="cccccc" w:space="0" w:sz="8" w:val="single"/>
              <w:left w:color="ffffff" w:space="0" w:sz="6" w:val="single"/>
              <w:bottom w:color="cccccc" w:space="0" w:sz="8" w:val="single"/>
              <w:right w:color="ffffff" w:space="0" w:sz="6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pStyle w:val="Heading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Intervalo para café</w:t>
            </w:r>
          </w:p>
        </w:tc>
        <w:tc>
          <w:tcPr>
            <w:tcBorders>
              <w:top w:color="cccccc" w:space="0" w:sz="8" w:val="single"/>
              <w:left w:color="ffffff" w:space="0" w:sz="6" w:val="single"/>
              <w:bottom w:color="cccccc" w:space="0" w:sz="8" w:val="single"/>
              <w:right w:color="ffffff" w:space="0" w:sz="24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jc w:val="right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cccccc" w:space="0" w:sz="8" w:val="single"/>
              <w:left w:color="ffffff" w:space="0" w:sz="24" w:val="single"/>
              <w:bottom w:color="cccccc" w:space="0" w:sz="8" w:val="single"/>
              <w:right w:color="ffffff" w:space="0" w:sz="6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pStyle w:val="Heading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15:30-17:00</w:t>
            </w:r>
          </w:p>
        </w:tc>
        <w:tc>
          <w:tcPr>
            <w:tcBorders>
              <w:top w:color="cccccc" w:space="0" w:sz="8" w:val="single"/>
              <w:left w:color="ffffff" w:space="0" w:sz="6" w:val="single"/>
              <w:bottom w:color="cccccc" w:space="0" w:sz="8" w:val="single"/>
              <w:right w:color="ffffff" w:space="0" w:sz="6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pStyle w:val="Heading2"/>
              <w:spacing w:before="60" w:line="178" w:lineRule="auto"/>
              <w:rPr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000000"/>
                <w:rtl w:val="0"/>
              </w:rPr>
              <w:t xml:space="preserve">Planos específicos de intervenção (trabalho em pequenos grupos)</w:t>
            </w:r>
          </w:p>
          <w:p w:rsidR="00000000" w:rsidDel="00000000" w:rsidP="00000000" w:rsidRDefault="00000000" w:rsidRPr="00000000" w14:paraId="0000002A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Usar resumos de dados e relatos com folhas de trabalho com dados, análise da causa raiz e princípios articulados na visão partilhada para elaborar planos específicos de intervenção para cada comportamento priorizado. Utilizar a ficha de dados correspondente de cada grupo para concluir os planos específicos de intervenção (que incluem análises da situação e do comportamento)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76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Malária na gravidez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Gestão de casos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Controlo vetorial </w:t>
            </w:r>
          </w:p>
          <w:p w:rsidR="00000000" w:rsidDel="00000000" w:rsidP="00000000" w:rsidRDefault="00000000" w:rsidRPr="00000000" w14:paraId="0000002E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u w:val="single"/>
                <w:rtl w:val="0"/>
              </w:rPr>
              <w:t xml:space="preserve">Resultados da sessão: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 projetos de planos específicos de intervenção (análise da situação e do comportamento)</w:t>
            </w:r>
          </w:p>
        </w:tc>
        <w:tc>
          <w:tcPr>
            <w:tcBorders>
              <w:top w:color="cccccc" w:space="0" w:sz="8" w:val="single"/>
              <w:left w:color="ffffff" w:space="0" w:sz="6" w:val="single"/>
              <w:bottom w:color="cccccc" w:space="0" w:sz="8" w:val="single"/>
              <w:right w:color="ffffff" w:space="0" w:sz="24" w:val="single"/>
            </w:tcBorders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jc w:val="righ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Oradores</w:t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after="200" w:before="0" w:line="288" w:lineRule="auto"/>
        <w:rPr/>
      </w:pPr>
      <w:r w:rsidDel="00000000" w:rsidR="00000000" w:rsidRPr="00000000">
        <w:rPr>
          <w:rFonts w:ascii="Calibri" w:cs="Calibri" w:eastAsia="Calibri" w:hAnsi="Calibri"/>
          <w:color w:val="545454"/>
          <w:highlight w:val="white"/>
          <w:rtl w:val="0"/>
        </w:rPr>
        <w:t xml:space="preserve">Este recurso faz parte do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Conjunto de Ferramentas de Desenvolvimento Estratégico da Mudança Social e Comportamental da Malária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spacing w:after="60" w:before="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00" w:lineRule="auto"/>
    </w:pPr>
    <w:rPr>
      <w:b w:val="1"/>
    </w:rPr>
  </w:style>
  <w:style w:type="paragraph" w:styleId="Heading3">
    <w:name w:val="heading 3"/>
    <w:basedOn w:val="Normal"/>
    <w:next w:val="Normal"/>
    <w:pPr/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00" w:before="30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color w:val="243f61"/>
    </w:rPr>
  </w:style>
  <w:style w:type="paragraph" w:styleId="Title">
    <w:name w:val="Title"/>
    <w:basedOn w:val="Normal"/>
    <w:next w:val="Normal"/>
    <w:pPr>
      <w:spacing w:after="80" w:before="240" w:lineRule="auto"/>
      <w:jc w:val="right"/>
    </w:pPr>
    <w:rPr>
      <w:b w:val="1"/>
      <w:smallCaps w:val="1"/>
      <w:color w:val="404040"/>
      <w:sz w:val="56"/>
      <w:szCs w:val="56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before="240"/>
      <w:outlineLvl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00"/>
      <w:outlineLvl w:val="1"/>
    </w:pPr>
    <w:rPr>
      <w:b w:val="1"/>
    </w:rPr>
  </w:style>
  <w:style w:type="paragraph" w:styleId="Heading3">
    <w:name w:val="heading 3"/>
    <w:basedOn w:val="Normal"/>
    <w:next w:val="Normal"/>
    <w:pPr>
      <w:outlineLvl w:val="2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00" w:before="30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/>
      <w:outlineLvl w:val="4"/>
    </w:pPr>
    <w:rPr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/>
      <w:outlineLvl w:val="5"/>
    </w:pPr>
    <w:rPr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spacing w:after="80" w:before="240"/>
      <w:jc w:val="right"/>
    </w:pPr>
    <w:rPr>
      <w:b w:val="1"/>
      <w:smallCaps w:val="1"/>
      <w:color w:val="404040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styleId="Table1" w:customStyle="1">
    <w:name w:val="Table1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 w:customStyle="1">
    <w:name w:val="Table2"/>
    <w:basedOn w:val="TableNormal"/>
    <w:pPr>
      <w:spacing w:after="0" w:before="0" w:line="240" w:lineRule="auto"/>
    </w:pPr>
    <w:rPr>
      <w:b w:val="1"/>
      <w:color w:val="ffffff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before="0" w:line="240" w:lineRule="auto"/>
    </w:pPr>
    <w:rPr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before="0" w:line="240" w:lineRule="auto"/>
    </w:pPr>
    <w:rPr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paJiNjmiHdVtfI25BZSCfpk1HV61ygcL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presentation/d/19Zhk66mvBHK0JymtC1lGofvgH4KGQ57KCTngObXSWW4/edit?usp=sharing" TargetMode="External"/><Relationship Id="rId8" Type="http://schemas.openxmlformats.org/officeDocument/2006/relationships/hyperlink" Target="https://endmalaria.org/sites/default/files/RBM%20SBCC%20Framework%202018-2030%20Portuguese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gTNuimvAP3ydMmwYMJDV/myMww==">CgMxLjAyCGguZ2pkZ3hzMgloLjMwajB6bGw4AHIhMUZFY1VUbk5SRGZ4R29pWDFWYUNtbDdaSDZ6Uy0zZmVp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2020-11-04T22:21:00Z</dcterms:created>
</cp:coreProperties>
</file>