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DF" w:rsidRPr="00457BC9" w:rsidRDefault="00457BC9">
      <w:pPr>
        <w:pStyle w:val="Title"/>
        <w:rPr>
          <w:lang w:val="pt-PT"/>
        </w:rPr>
      </w:pPr>
      <w:bookmarkStart w:id="0" w:name="_GoBack"/>
      <w:bookmarkEnd w:id="0"/>
      <w:r w:rsidRPr="00457BC9">
        <w:rPr>
          <w:lang w:val="pt-PT"/>
        </w:rPr>
        <w:t>DIA 3 ORDEM DO DIA</w:t>
      </w:r>
    </w:p>
    <w:p w:rsidR="00507BDF" w:rsidRPr="00457BC9" w:rsidRDefault="00457BC9">
      <w:pPr>
        <w:pStyle w:val="Heading1"/>
        <w:rPr>
          <w:lang w:val="pt-PT"/>
        </w:rPr>
      </w:pPr>
      <w:r w:rsidRPr="00457BC9">
        <w:rPr>
          <w:lang w:val="pt-PT"/>
        </w:rPr>
        <w:t>Seminário de partes interessadas da estratégia de Mudança Social e Comportamental relativamente à malária</w:t>
      </w:r>
    </w:p>
    <w:p w:rsidR="00507BDF" w:rsidRPr="00457BC9" w:rsidRDefault="00457BC9">
      <w:pPr>
        <w:pStyle w:val="Heading2"/>
        <w:spacing w:after="0"/>
        <w:rPr>
          <w:lang w:val="pt-PT"/>
        </w:rPr>
      </w:pPr>
      <w:r w:rsidRPr="00457BC9">
        <w:rPr>
          <w:lang w:val="pt-PT"/>
        </w:rPr>
        <w:t>Data</w:t>
      </w:r>
    </w:p>
    <w:p w:rsidR="00507BDF" w:rsidRPr="00457BC9" w:rsidRDefault="00457BC9">
      <w:pPr>
        <w:pStyle w:val="Heading2"/>
        <w:spacing w:before="0"/>
        <w:rPr>
          <w:lang w:val="pt-PT"/>
        </w:rPr>
      </w:pPr>
      <w:r w:rsidRPr="00457BC9">
        <w:rPr>
          <w:lang w:val="pt-PT"/>
        </w:rPr>
        <w:t>Hora de início - Hora de fim</w:t>
      </w:r>
    </w:p>
    <w:p w:rsidR="00507BDF" w:rsidRPr="00457BC9" w:rsidRDefault="00457BC9">
      <w:pPr>
        <w:rPr>
          <w:lang w:val="pt-PT"/>
        </w:rPr>
      </w:pPr>
      <w:r w:rsidRPr="00457BC9">
        <w:rPr>
          <w:lang w:val="pt-PT"/>
        </w:rPr>
        <w:t>Reunião convocada por Nome do Facilitador</w:t>
      </w:r>
    </w:p>
    <w:tbl>
      <w:tblPr>
        <w:tblStyle w:val="Table1"/>
        <w:tblW w:w="100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8175"/>
      </w:tblGrid>
      <w:tr w:rsidR="00507BDF" w:rsidRPr="00457BC9">
        <w:trPr>
          <w:trHeight w:val="465"/>
        </w:trPr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DF" w:rsidRPr="00457BC9" w:rsidRDefault="00457BC9">
            <w:pPr>
              <w:widowControl w:val="0"/>
              <w:spacing w:before="0" w:after="0" w:line="240" w:lineRule="auto"/>
              <w:ind w:left="-90"/>
              <w:rPr>
                <w:b/>
                <w:lang w:val="pt-PT"/>
              </w:rPr>
            </w:pPr>
            <w:r w:rsidRPr="00457BC9">
              <w:rPr>
                <w:b/>
                <w:lang w:val="pt-PT"/>
              </w:rPr>
              <w:t>Participantes:</w:t>
            </w:r>
          </w:p>
        </w:tc>
        <w:tc>
          <w:tcPr>
            <w:tcW w:w="8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DF" w:rsidRPr="00457BC9" w:rsidRDefault="00457BC9">
            <w:pPr>
              <w:widowControl w:val="0"/>
              <w:spacing w:before="0" w:after="0" w:line="240" w:lineRule="auto"/>
              <w:ind w:left="-90"/>
              <w:rPr>
                <w:lang w:val="pt-PT"/>
              </w:rPr>
            </w:pPr>
            <w:r w:rsidRPr="00457BC9">
              <w:rPr>
                <w:lang w:val="pt-PT"/>
              </w:rPr>
              <w:t>Nomes dos participantes</w:t>
            </w:r>
          </w:p>
        </w:tc>
      </w:tr>
      <w:tr w:rsidR="00507BDF" w:rsidRPr="00457BC9">
        <w:trPr>
          <w:trHeight w:val="270"/>
        </w:trPr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DF" w:rsidRPr="00457BC9" w:rsidRDefault="00457BC9">
            <w:pPr>
              <w:widowControl w:val="0"/>
              <w:spacing w:before="0" w:after="0" w:line="240" w:lineRule="auto"/>
              <w:ind w:left="-90"/>
              <w:rPr>
                <w:b/>
                <w:lang w:val="pt-PT"/>
              </w:rPr>
            </w:pPr>
            <w:r w:rsidRPr="00457BC9">
              <w:rPr>
                <w:b/>
                <w:lang w:val="pt-PT"/>
              </w:rPr>
              <w:t>Ler:</w:t>
            </w:r>
          </w:p>
        </w:tc>
        <w:tc>
          <w:tcPr>
            <w:tcW w:w="8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DF" w:rsidRPr="00457BC9" w:rsidRDefault="00457BC9">
            <w:pPr>
              <w:widowControl w:val="0"/>
              <w:spacing w:before="0" w:after="0" w:line="240" w:lineRule="auto"/>
              <w:ind w:left="-90"/>
              <w:rPr>
                <w:lang w:val="pt-PT"/>
              </w:rPr>
            </w:pPr>
            <w:r w:rsidRPr="00457BC9">
              <w:rPr>
                <w:lang w:val="pt-PT"/>
              </w:rPr>
              <w:t xml:space="preserve">Lista de </w:t>
            </w:r>
            <w:r w:rsidRPr="00457BC9">
              <w:rPr>
                <w:lang w:val="pt-PT"/>
              </w:rPr>
              <w:t>Leitura</w:t>
            </w:r>
          </w:p>
        </w:tc>
      </w:tr>
      <w:tr w:rsidR="00507BDF" w:rsidRPr="00457BC9">
        <w:trPr>
          <w:trHeight w:val="315"/>
        </w:trPr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DF" w:rsidRPr="00457BC9" w:rsidRDefault="00457BC9">
            <w:pPr>
              <w:widowControl w:val="0"/>
              <w:spacing w:before="0" w:after="0" w:line="240" w:lineRule="auto"/>
              <w:ind w:left="-90"/>
              <w:rPr>
                <w:b/>
                <w:lang w:val="pt-PT"/>
              </w:rPr>
            </w:pPr>
            <w:r w:rsidRPr="00457BC9">
              <w:rPr>
                <w:b/>
                <w:lang w:val="pt-PT"/>
              </w:rPr>
              <w:t>Trazer:</w:t>
            </w:r>
          </w:p>
        </w:tc>
        <w:tc>
          <w:tcPr>
            <w:tcW w:w="8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DF" w:rsidRPr="00457BC9" w:rsidRDefault="00457BC9">
            <w:pPr>
              <w:widowControl w:val="0"/>
              <w:spacing w:before="0" w:after="0" w:line="240" w:lineRule="auto"/>
              <w:ind w:left="-90"/>
              <w:rPr>
                <w:lang w:val="pt-PT"/>
              </w:rPr>
            </w:pPr>
            <w:r w:rsidRPr="00457BC9">
              <w:rPr>
                <w:lang w:val="pt-PT"/>
              </w:rPr>
              <w:t>Lista de Fornecimento</w:t>
            </w:r>
          </w:p>
        </w:tc>
      </w:tr>
    </w:tbl>
    <w:p w:rsidR="00507BDF" w:rsidRPr="00457BC9" w:rsidRDefault="00507BDF">
      <w:pPr>
        <w:widowControl w:val="0"/>
        <w:spacing w:before="0" w:after="0"/>
        <w:rPr>
          <w:lang w:val="pt-PT"/>
        </w:rPr>
      </w:pPr>
    </w:p>
    <w:tbl>
      <w:tblPr>
        <w:tblStyle w:val="Table2"/>
        <w:tblW w:w="10168" w:type="dxa"/>
        <w:tblInd w:w="-1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3"/>
        <w:gridCol w:w="5130"/>
        <w:gridCol w:w="2295"/>
      </w:tblGrid>
      <w:tr w:rsidR="00507BDF" w:rsidRPr="00457BC9">
        <w:trPr>
          <w:trHeight w:val="1086"/>
        </w:trPr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07BDF" w:rsidRPr="00457BC9" w:rsidRDefault="00457BC9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457BC9">
              <w:rPr>
                <w:color w:val="000000"/>
                <w:lang w:val="pt-PT"/>
              </w:rPr>
              <w:t>8:00-10:00</w:t>
            </w:r>
          </w:p>
        </w:tc>
        <w:tc>
          <w:tcPr>
            <w:tcW w:w="5130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07BDF" w:rsidRPr="00457BC9" w:rsidRDefault="00457BC9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457BC9">
              <w:rPr>
                <w:color w:val="000000"/>
                <w:lang w:val="pt-PT"/>
              </w:rPr>
              <w:t>Revisão do Dia 2 (plenário)</w:t>
            </w:r>
          </w:p>
          <w:p w:rsidR="00507BDF" w:rsidRPr="00457BC9" w:rsidRDefault="00457BC9">
            <w:pPr>
              <w:rPr>
                <w:b w:val="0"/>
                <w:color w:val="000000"/>
                <w:lang w:val="pt-PT"/>
              </w:rPr>
            </w:pPr>
            <w:r w:rsidRPr="00457BC9">
              <w:rPr>
                <w:b w:val="0"/>
                <w:color w:val="000000"/>
                <w:lang w:val="pt-PT"/>
              </w:rPr>
              <w:t>Continuar os planos específicos de intervenção (pequenos grupos)</w:t>
            </w:r>
          </w:p>
        </w:tc>
        <w:tc>
          <w:tcPr>
            <w:tcW w:w="2295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07BDF" w:rsidRPr="00457BC9" w:rsidRDefault="0045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pt-PT"/>
              </w:rPr>
            </w:pPr>
            <w:r w:rsidRPr="00457BC9">
              <w:rPr>
                <w:b w:val="0"/>
                <w:color w:val="000000"/>
                <w:lang w:val="pt-PT"/>
              </w:rPr>
              <w:t>Oradores</w:t>
            </w:r>
          </w:p>
        </w:tc>
      </w:tr>
      <w:tr w:rsidR="00507BDF" w:rsidRPr="00457BC9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07BDF" w:rsidRPr="00457BC9" w:rsidRDefault="00457BC9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457BC9">
              <w:rPr>
                <w:color w:val="000000"/>
                <w:lang w:val="pt-PT"/>
              </w:rPr>
              <w:t>10:00-10:30</w:t>
            </w:r>
          </w:p>
        </w:tc>
        <w:tc>
          <w:tcPr>
            <w:tcW w:w="5130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07BDF" w:rsidRPr="00457BC9" w:rsidRDefault="00457BC9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457BC9">
              <w:rPr>
                <w:color w:val="000000"/>
                <w:lang w:val="pt-PT"/>
              </w:rPr>
              <w:t>Intervalo para café</w:t>
            </w:r>
          </w:p>
        </w:tc>
        <w:tc>
          <w:tcPr>
            <w:tcW w:w="2295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07BDF" w:rsidRPr="00457BC9" w:rsidRDefault="00507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pt-PT"/>
              </w:rPr>
            </w:pPr>
          </w:p>
        </w:tc>
      </w:tr>
      <w:tr w:rsidR="00507BDF" w:rsidRPr="00457BC9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07BDF" w:rsidRPr="00457BC9" w:rsidRDefault="00457BC9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457BC9">
              <w:rPr>
                <w:color w:val="000000"/>
                <w:lang w:val="pt-PT"/>
              </w:rPr>
              <w:t>10:30-11:00</w:t>
            </w:r>
          </w:p>
        </w:tc>
        <w:tc>
          <w:tcPr>
            <w:tcW w:w="5130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07BDF" w:rsidRPr="00457BC9" w:rsidRDefault="00457BC9">
            <w:pPr>
              <w:pStyle w:val="Heading2"/>
              <w:spacing w:after="0"/>
              <w:outlineLvl w:val="1"/>
              <w:rPr>
                <w:color w:val="000000"/>
                <w:lang w:val="pt-PT"/>
              </w:rPr>
            </w:pPr>
            <w:r w:rsidRPr="00457BC9">
              <w:rPr>
                <w:color w:val="000000"/>
                <w:lang w:val="pt-PT"/>
              </w:rPr>
              <w:t xml:space="preserve">Concluir planos completos específicos de intervenção </w:t>
            </w:r>
            <w:r w:rsidRPr="00457BC9">
              <w:rPr>
                <w:color w:val="000000"/>
                <w:lang w:val="pt-PT"/>
              </w:rPr>
              <w:t>(pequenos grupos)</w:t>
            </w:r>
          </w:p>
          <w:p w:rsidR="00507BDF" w:rsidRPr="00457BC9" w:rsidRDefault="00457BC9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457BC9">
              <w:rPr>
                <w:color w:val="000000"/>
                <w:u w:val="single"/>
                <w:lang w:val="pt-PT"/>
              </w:rPr>
              <w:t>Resultados da sessão</w:t>
            </w:r>
            <w:r w:rsidRPr="00457BC9">
              <w:rPr>
                <w:color w:val="000000"/>
                <w:lang w:val="pt-PT"/>
              </w:rPr>
              <w:t>: gestão de casos, malária na gravidez, planos de controlo vetorial (análise da situação e do comportamento)</w:t>
            </w:r>
          </w:p>
        </w:tc>
        <w:tc>
          <w:tcPr>
            <w:tcW w:w="2295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07BDF" w:rsidRPr="00457BC9" w:rsidRDefault="0045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pt-PT"/>
              </w:rPr>
            </w:pPr>
            <w:r w:rsidRPr="00457BC9">
              <w:rPr>
                <w:b w:val="0"/>
                <w:color w:val="000000"/>
                <w:lang w:val="pt-PT"/>
              </w:rPr>
              <w:t>Oradores</w:t>
            </w:r>
          </w:p>
        </w:tc>
      </w:tr>
      <w:tr w:rsidR="00507BDF" w:rsidRPr="00457BC9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07BDF" w:rsidRPr="00457BC9" w:rsidRDefault="00457BC9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457BC9">
              <w:rPr>
                <w:color w:val="000000"/>
                <w:lang w:val="pt-PT"/>
              </w:rPr>
              <w:t>11:00-12:00</w:t>
            </w:r>
          </w:p>
        </w:tc>
        <w:tc>
          <w:tcPr>
            <w:tcW w:w="5130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07BDF" w:rsidRPr="00457BC9" w:rsidRDefault="00457BC9">
            <w:pPr>
              <w:pStyle w:val="Heading2"/>
              <w:spacing w:after="0"/>
              <w:outlineLvl w:val="1"/>
              <w:rPr>
                <w:color w:val="000000"/>
                <w:lang w:val="pt-PT"/>
              </w:rPr>
            </w:pPr>
            <w:r w:rsidRPr="00457BC9">
              <w:rPr>
                <w:color w:val="000000"/>
                <w:lang w:val="pt-PT"/>
              </w:rPr>
              <w:t>Apresentar planos de comunicação (plenário)</w:t>
            </w:r>
          </w:p>
          <w:p w:rsidR="00507BDF" w:rsidRPr="00457BC9" w:rsidRDefault="00457BC9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457BC9">
              <w:rPr>
                <w:color w:val="000000"/>
                <w:lang w:val="pt-PT"/>
              </w:rPr>
              <w:t xml:space="preserve">10 minutos de apresentação e 10 minutos de </w:t>
            </w:r>
            <w:r w:rsidRPr="00457BC9">
              <w:rPr>
                <w:color w:val="000000"/>
                <w:lang w:val="pt-PT"/>
              </w:rPr>
              <w:t>discussão para cada grupo</w:t>
            </w:r>
          </w:p>
        </w:tc>
        <w:tc>
          <w:tcPr>
            <w:tcW w:w="2295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07BDF" w:rsidRPr="00457BC9" w:rsidRDefault="0045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pt-PT"/>
              </w:rPr>
            </w:pPr>
            <w:r w:rsidRPr="00457BC9">
              <w:rPr>
                <w:b w:val="0"/>
                <w:color w:val="000000"/>
                <w:lang w:val="pt-PT"/>
              </w:rPr>
              <w:t>Oradores</w:t>
            </w:r>
          </w:p>
        </w:tc>
      </w:tr>
      <w:tr w:rsidR="00507BDF" w:rsidRPr="00457BC9">
        <w:trPr>
          <w:trHeight w:val="33"/>
        </w:trPr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07BDF" w:rsidRPr="00457BC9" w:rsidRDefault="00457BC9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457BC9">
              <w:rPr>
                <w:color w:val="000000"/>
                <w:lang w:val="pt-PT"/>
              </w:rPr>
              <w:t>12:00-13:00</w:t>
            </w:r>
          </w:p>
        </w:tc>
        <w:tc>
          <w:tcPr>
            <w:tcW w:w="5130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07BDF" w:rsidRPr="00457BC9" w:rsidRDefault="00457BC9">
            <w:pPr>
              <w:pStyle w:val="Heading2"/>
              <w:spacing w:after="0"/>
              <w:outlineLvl w:val="1"/>
              <w:rPr>
                <w:color w:val="000000"/>
                <w:lang w:val="pt-PT"/>
              </w:rPr>
            </w:pPr>
            <w:r w:rsidRPr="00457BC9">
              <w:rPr>
                <w:color w:val="000000"/>
                <w:lang w:val="pt-PT"/>
              </w:rPr>
              <w:t>Compilar a análise da situação</w:t>
            </w:r>
          </w:p>
          <w:p w:rsidR="00507BDF" w:rsidRPr="00457BC9" w:rsidRDefault="00457BC9">
            <w:pPr>
              <w:pStyle w:val="Heading2"/>
              <w:numPr>
                <w:ilvl w:val="0"/>
                <w:numId w:val="1"/>
              </w:numPr>
              <w:spacing w:after="0"/>
              <w:outlineLvl w:val="1"/>
              <w:rPr>
                <w:color w:val="000000"/>
                <w:lang w:val="pt-PT"/>
              </w:rPr>
            </w:pPr>
            <w:r w:rsidRPr="00457BC9">
              <w:rPr>
                <w:color w:val="000000"/>
                <w:lang w:val="pt-PT"/>
              </w:rPr>
              <w:t>Combinar a análise da situação, a análise do comportamento resume-se a uma narrativa de 2-4 parágrafos</w:t>
            </w:r>
          </w:p>
          <w:p w:rsidR="00507BDF" w:rsidRPr="00457BC9" w:rsidRDefault="00457BC9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457BC9">
              <w:rPr>
                <w:color w:val="000000"/>
                <w:u w:val="single"/>
                <w:lang w:val="pt-PT"/>
              </w:rPr>
              <w:t>Resultado da sessão:</w:t>
            </w:r>
            <w:r w:rsidRPr="00457BC9">
              <w:rPr>
                <w:color w:val="000000"/>
                <w:lang w:val="pt-PT"/>
              </w:rPr>
              <w:t xml:space="preserve"> análise da situação e do comportamento</w:t>
            </w:r>
          </w:p>
        </w:tc>
        <w:tc>
          <w:tcPr>
            <w:tcW w:w="2295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07BDF" w:rsidRPr="00457BC9" w:rsidRDefault="00507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pt-PT"/>
              </w:rPr>
            </w:pPr>
          </w:p>
        </w:tc>
      </w:tr>
      <w:tr w:rsidR="00507BDF" w:rsidRPr="00457BC9">
        <w:trPr>
          <w:trHeight w:val="33"/>
        </w:trPr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07BDF" w:rsidRPr="00457BC9" w:rsidRDefault="00457BC9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457BC9">
              <w:rPr>
                <w:color w:val="000000"/>
                <w:lang w:val="pt-PT"/>
              </w:rPr>
              <w:t>13:00-14:00</w:t>
            </w:r>
          </w:p>
        </w:tc>
        <w:tc>
          <w:tcPr>
            <w:tcW w:w="5130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07BDF" w:rsidRPr="00457BC9" w:rsidRDefault="00457BC9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457BC9">
              <w:rPr>
                <w:color w:val="000000"/>
                <w:lang w:val="pt-PT"/>
              </w:rPr>
              <w:t>Almoço</w:t>
            </w:r>
          </w:p>
        </w:tc>
        <w:tc>
          <w:tcPr>
            <w:tcW w:w="2295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07BDF" w:rsidRPr="00457BC9" w:rsidRDefault="00507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pt-PT"/>
              </w:rPr>
            </w:pPr>
          </w:p>
        </w:tc>
      </w:tr>
      <w:tr w:rsidR="00507BDF" w:rsidRPr="00457BC9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07BDF" w:rsidRPr="00457BC9" w:rsidRDefault="00457BC9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457BC9">
              <w:rPr>
                <w:color w:val="000000"/>
                <w:lang w:val="pt-PT"/>
              </w:rPr>
              <w:lastRenderedPageBreak/>
              <w:t>14:00-15:00</w:t>
            </w:r>
          </w:p>
        </w:tc>
        <w:tc>
          <w:tcPr>
            <w:tcW w:w="5130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07BDF" w:rsidRPr="00457BC9" w:rsidRDefault="00457BC9">
            <w:pPr>
              <w:pStyle w:val="Heading2"/>
              <w:spacing w:before="60" w:line="178" w:lineRule="auto"/>
              <w:outlineLvl w:val="1"/>
              <w:rPr>
                <w:color w:val="000000"/>
                <w:lang w:val="pt-PT"/>
              </w:rPr>
            </w:pPr>
            <w:bookmarkStart w:id="1" w:name="_9i4q4hgwo7ji" w:colFirst="0" w:colLast="0"/>
            <w:bookmarkEnd w:id="1"/>
            <w:r w:rsidRPr="00457BC9">
              <w:rPr>
                <w:color w:val="000000"/>
                <w:lang w:val="pt-PT"/>
              </w:rPr>
              <w:t>Plano de acompanhamento, avaliação e aprendizagem (plenário)</w:t>
            </w:r>
          </w:p>
          <w:p w:rsidR="00507BDF" w:rsidRPr="00457BC9" w:rsidRDefault="00457BC9">
            <w:pPr>
              <w:rPr>
                <w:b w:val="0"/>
                <w:color w:val="000000"/>
                <w:lang w:val="pt-PT"/>
              </w:rPr>
            </w:pPr>
            <w:r w:rsidRPr="00457BC9">
              <w:rPr>
                <w:b w:val="0"/>
                <w:color w:val="000000"/>
                <w:lang w:val="pt-PT"/>
              </w:rPr>
              <w:t xml:space="preserve">Avaliar os indicadores estratégicos anteriores. Introduzir indicadores atualizados do </w:t>
            </w:r>
            <w:hyperlink r:id="rId6" w:history="1">
              <w:r w:rsidRPr="00457BC9">
                <w:rPr>
                  <w:b w:val="0"/>
                  <w:color w:val="1155CC"/>
                  <w:u w:val="single"/>
                  <w:lang w:val="pt-PT"/>
                </w:rPr>
                <w:t>Guia de Referência de Indicadores Comunicação para a Mudança Social e de Comportamentos da Parceria Fazer Recuar a Malária para Acabar com a Malária</w:t>
              </w:r>
            </w:hyperlink>
            <w:r w:rsidRPr="00457BC9">
              <w:rPr>
                <w:b w:val="0"/>
                <w:color w:val="000000"/>
                <w:lang w:val="pt-PT"/>
              </w:rPr>
              <w:t>.</w:t>
            </w:r>
          </w:p>
        </w:tc>
        <w:tc>
          <w:tcPr>
            <w:tcW w:w="2295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07BDF" w:rsidRPr="00457BC9" w:rsidRDefault="0045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pt-PT"/>
              </w:rPr>
            </w:pPr>
            <w:r w:rsidRPr="00457BC9">
              <w:rPr>
                <w:b w:val="0"/>
                <w:color w:val="000000"/>
                <w:lang w:val="pt-PT"/>
              </w:rPr>
              <w:t>Oradores</w:t>
            </w:r>
          </w:p>
        </w:tc>
      </w:tr>
      <w:tr w:rsidR="00507BDF" w:rsidRPr="00457BC9">
        <w:trPr>
          <w:trHeight w:val="294"/>
        </w:trPr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07BDF" w:rsidRPr="00457BC9" w:rsidRDefault="00457BC9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457BC9">
              <w:rPr>
                <w:color w:val="000000"/>
                <w:lang w:val="pt-PT"/>
              </w:rPr>
              <w:t>15:00-15:30</w:t>
            </w:r>
          </w:p>
        </w:tc>
        <w:tc>
          <w:tcPr>
            <w:tcW w:w="5130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07BDF" w:rsidRPr="00457BC9" w:rsidRDefault="00457BC9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457BC9">
              <w:rPr>
                <w:color w:val="000000"/>
                <w:lang w:val="pt-PT"/>
              </w:rPr>
              <w:t>Intervalo para café</w:t>
            </w:r>
          </w:p>
        </w:tc>
        <w:tc>
          <w:tcPr>
            <w:tcW w:w="2295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07BDF" w:rsidRPr="00457BC9" w:rsidRDefault="00507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pt-PT"/>
              </w:rPr>
            </w:pPr>
          </w:p>
        </w:tc>
      </w:tr>
      <w:tr w:rsidR="00507BDF" w:rsidRPr="00457BC9">
        <w:trPr>
          <w:trHeight w:val="762"/>
        </w:trPr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07BDF" w:rsidRPr="00457BC9" w:rsidRDefault="00457BC9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457BC9">
              <w:rPr>
                <w:color w:val="000000"/>
                <w:lang w:val="pt-PT"/>
              </w:rPr>
              <w:t>15:30-17:00</w:t>
            </w:r>
          </w:p>
        </w:tc>
        <w:tc>
          <w:tcPr>
            <w:tcW w:w="5130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07BDF" w:rsidRPr="00457BC9" w:rsidRDefault="00457BC9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457BC9">
              <w:rPr>
                <w:color w:val="000000"/>
                <w:lang w:val="pt-PT"/>
              </w:rPr>
              <w:t>Avaliação do seminário (pequenos grupos)</w:t>
            </w:r>
          </w:p>
          <w:p w:rsidR="00507BDF" w:rsidRPr="00457BC9" w:rsidRDefault="00457BC9">
            <w:pPr>
              <w:rPr>
                <w:b w:val="0"/>
                <w:color w:val="000000"/>
                <w:lang w:val="pt-PT"/>
              </w:rPr>
            </w:pPr>
            <w:r w:rsidRPr="00457BC9">
              <w:rPr>
                <w:b w:val="0"/>
                <w:color w:val="000000"/>
                <w:lang w:val="pt-PT"/>
              </w:rPr>
              <w:t xml:space="preserve">Cada grupo temático avaliará o seminário utilizando a ferramenta </w:t>
            </w:r>
            <w:hyperlink r:id="rId7" w:history="1">
              <w:r w:rsidRPr="00457BC9">
                <w:rPr>
                  <w:b w:val="0"/>
                  <w:color w:val="1155CC"/>
                  <w:u w:val="single"/>
                  <w:lang w:val="pt-PT"/>
                </w:rPr>
                <w:t xml:space="preserve">Registo </w:t>
              </w:r>
              <w:r w:rsidRPr="00457BC9">
                <w:rPr>
                  <w:b w:val="0"/>
                  <w:color w:val="1155CC"/>
                  <w:u w:val="single"/>
                  <w:lang w:val="pt-PT"/>
                </w:rPr>
                <w:t>de Melhoria de Qualidade da Mudança Social e Comportamental</w:t>
              </w:r>
            </w:hyperlink>
          </w:p>
        </w:tc>
        <w:tc>
          <w:tcPr>
            <w:tcW w:w="2295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07BDF" w:rsidRPr="00457BC9" w:rsidRDefault="0045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pt-PT"/>
              </w:rPr>
            </w:pPr>
            <w:r w:rsidRPr="00457BC9">
              <w:rPr>
                <w:b w:val="0"/>
                <w:color w:val="000000"/>
                <w:lang w:val="pt-PT"/>
              </w:rPr>
              <w:t>Oradores</w:t>
            </w:r>
          </w:p>
        </w:tc>
      </w:tr>
      <w:tr w:rsidR="00507BDF" w:rsidRPr="00457BC9">
        <w:trPr>
          <w:trHeight w:val="1140"/>
        </w:trPr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07BDF" w:rsidRPr="00457BC9" w:rsidRDefault="00457BC9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457BC9">
              <w:rPr>
                <w:color w:val="000000"/>
                <w:lang w:val="pt-PT"/>
              </w:rPr>
              <w:t>5:30-5:30</w:t>
            </w:r>
          </w:p>
        </w:tc>
        <w:tc>
          <w:tcPr>
            <w:tcW w:w="5130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07BDF" w:rsidRPr="00457BC9" w:rsidRDefault="00457BC9">
            <w:pPr>
              <w:pStyle w:val="Heading2"/>
              <w:spacing w:after="0"/>
              <w:outlineLvl w:val="1"/>
              <w:rPr>
                <w:color w:val="000000"/>
                <w:lang w:val="pt-PT"/>
              </w:rPr>
            </w:pPr>
            <w:r w:rsidRPr="00457BC9">
              <w:rPr>
                <w:color w:val="000000"/>
                <w:lang w:val="pt-PT"/>
              </w:rPr>
              <w:t>Próximos Passos</w:t>
            </w:r>
          </w:p>
          <w:p w:rsidR="00507BDF" w:rsidRPr="00457BC9" w:rsidRDefault="00457BC9">
            <w:pPr>
              <w:pStyle w:val="Heading2"/>
              <w:numPr>
                <w:ilvl w:val="0"/>
                <w:numId w:val="1"/>
              </w:numPr>
              <w:spacing w:after="0"/>
              <w:outlineLvl w:val="1"/>
              <w:rPr>
                <w:color w:val="000000"/>
                <w:lang w:val="pt-PT"/>
              </w:rPr>
            </w:pPr>
            <w:r w:rsidRPr="00457BC9">
              <w:rPr>
                <w:color w:val="000000"/>
                <w:lang w:val="pt-PT"/>
              </w:rPr>
              <w:t xml:space="preserve">Descrever o processo de retiro de escrita (consultar o </w:t>
            </w:r>
            <w:hyperlink r:id="rId8" w:history="1">
              <w:r w:rsidRPr="00457BC9">
                <w:rPr>
                  <w:color w:val="1155CC"/>
                  <w:u w:val="single"/>
                  <w:lang w:val="pt-PT"/>
                </w:rPr>
                <w:t>modelo de Termos de Referência</w:t>
              </w:r>
            </w:hyperlink>
            <w:r w:rsidRPr="00457BC9">
              <w:rPr>
                <w:color w:val="000000"/>
                <w:lang w:val="pt-PT"/>
              </w:rPr>
              <w:t xml:space="preserve"> e </w:t>
            </w:r>
            <w:hyperlink r:id="rId9" w:history="1">
              <w:r w:rsidRPr="00457BC9">
                <w:rPr>
                  <w:color w:val="1155CC"/>
                  <w:u w:val="single"/>
                  <w:lang w:val="pt-PT"/>
                </w:rPr>
                <w:t xml:space="preserve">modelo de </w:t>
              </w:r>
              <w:r w:rsidRPr="00457BC9">
                <w:rPr>
                  <w:color w:val="1155CC"/>
                  <w:u w:val="single"/>
                  <w:lang w:val="pt-PT"/>
                </w:rPr>
                <w:t>agenda de retiro de escrita</w:t>
              </w:r>
            </w:hyperlink>
            <w:r w:rsidRPr="00457BC9">
              <w:rPr>
                <w:color w:val="000000"/>
                <w:lang w:val="pt-PT"/>
              </w:rPr>
              <w:t>)</w:t>
            </w:r>
          </w:p>
          <w:p w:rsidR="00507BDF" w:rsidRPr="00457BC9" w:rsidRDefault="00457BC9">
            <w:pPr>
              <w:pStyle w:val="Heading2"/>
              <w:numPr>
                <w:ilvl w:val="0"/>
                <w:numId w:val="1"/>
              </w:numPr>
              <w:outlineLvl w:val="1"/>
              <w:rPr>
                <w:color w:val="000000"/>
                <w:lang w:val="pt-PT"/>
              </w:rPr>
            </w:pPr>
            <w:r w:rsidRPr="00457BC9">
              <w:rPr>
                <w:color w:val="000000"/>
                <w:lang w:val="pt-PT"/>
              </w:rPr>
              <w:t xml:space="preserve">Descrever </w:t>
            </w:r>
            <w:hyperlink r:id="rId10" w:history="1">
              <w:r w:rsidRPr="00457BC9">
                <w:rPr>
                  <w:color w:val="1155CC"/>
                  <w:u w:val="single"/>
                  <w:lang w:val="pt-PT"/>
                </w:rPr>
                <w:t>o processo de validação da estratégia</w:t>
              </w:r>
            </w:hyperlink>
          </w:p>
        </w:tc>
        <w:tc>
          <w:tcPr>
            <w:tcW w:w="2295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07BDF" w:rsidRPr="00457BC9" w:rsidRDefault="0045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pt-PT"/>
              </w:rPr>
            </w:pPr>
            <w:r w:rsidRPr="00457BC9">
              <w:rPr>
                <w:b w:val="0"/>
                <w:color w:val="000000"/>
                <w:lang w:val="pt-PT"/>
              </w:rPr>
              <w:t>Oradores</w:t>
            </w:r>
          </w:p>
        </w:tc>
      </w:tr>
    </w:tbl>
    <w:p w:rsidR="00507BDF" w:rsidRPr="00457BC9" w:rsidRDefault="00457BC9">
      <w:pPr>
        <w:widowControl w:val="0"/>
        <w:spacing w:before="0" w:after="200" w:line="288" w:lineRule="auto"/>
        <w:rPr>
          <w:lang w:val="pt-PT"/>
        </w:rPr>
      </w:pPr>
      <w:r w:rsidRPr="00457BC9">
        <w:rPr>
          <w:rFonts w:ascii="Calibri" w:eastAsia="Calibri" w:hAnsi="Calibri" w:cs="Calibri"/>
          <w:color w:val="545454"/>
          <w:highlight w:val="white"/>
          <w:lang w:val="pt-PT"/>
        </w:rPr>
        <w:t xml:space="preserve">Este recurso faz parte do </w:t>
      </w:r>
      <w:hyperlink r:id="rId11" w:history="1">
        <w:r w:rsidRPr="00457BC9">
          <w:rPr>
            <w:rFonts w:ascii="Calibri" w:eastAsia="Calibri" w:hAnsi="Calibri" w:cs="Calibri"/>
            <w:color w:val="1155CC"/>
            <w:highlight w:val="white"/>
            <w:u w:val="single"/>
            <w:lang w:val="pt-PT"/>
          </w:rPr>
          <w:t>Conjunto de Ferramentas de Desenvolvimento Estratégico da Mudança Social e Comportamental da Malária</w:t>
        </w:r>
      </w:hyperlink>
    </w:p>
    <w:sectPr w:rsidR="00507BDF" w:rsidRPr="00457BC9">
      <w:pgSz w:w="12240" w:h="15840"/>
      <w:pgMar w:top="1080" w:right="1080" w:bottom="1080" w:left="108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005C1"/>
    <w:multiLevelType w:val="hybridMultilevel"/>
    <w:tmpl w:val="00000000"/>
    <w:lvl w:ilvl="0" w:tplc="BB0EC2D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5EC8B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BE825A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07000FB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6074B0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B66132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42C4C39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EF0EAC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F4B46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DF"/>
    <w:rsid w:val="00457BC9"/>
    <w:rsid w:val="0050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spacing w:after="200"/>
      <w:outlineLvl w:val="1"/>
    </w:pPr>
    <w:rPr>
      <w:b/>
    </w:rPr>
  </w:style>
  <w:style w:type="paragraph" w:styleId="Heading3">
    <w:name w:val="heading 3"/>
    <w:basedOn w:val="Normal"/>
    <w:next w:val="Normal"/>
    <w:pPr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300" w:after="10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color w:val="366091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80"/>
      <w:jc w:val="right"/>
    </w:pPr>
    <w:rPr>
      <w:b/>
      <w:smallCaps/>
      <w:color w:val="404040"/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Normal"/>
    <w:pPr>
      <w:spacing w:before="0" w:after="0" w:line="240" w:lineRule="auto"/>
    </w:pPr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spacing w:after="200"/>
      <w:outlineLvl w:val="1"/>
    </w:pPr>
    <w:rPr>
      <w:b/>
    </w:rPr>
  </w:style>
  <w:style w:type="paragraph" w:styleId="Heading3">
    <w:name w:val="heading 3"/>
    <w:basedOn w:val="Normal"/>
    <w:next w:val="Normal"/>
    <w:pPr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300" w:after="10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color w:val="366091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80"/>
      <w:jc w:val="right"/>
    </w:pPr>
    <w:rPr>
      <w:b/>
      <w:smallCaps/>
      <w:color w:val="404040"/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Normal"/>
    <w:pPr>
      <w:spacing w:before="0" w:after="0" w:line="240" w:lineRule="auto"/>
    </w:pPr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w-AR2mxE40PGpgPiuKGOqDfwck4D9mZRRioLXfoeBQ8/edit?usp=sharin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thecompassforsbc.org/sbcc-tools/sbcc-check-quality-improvement-too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compassforsbc.org/sbcc-tools/malaria-bcc-indicator-reference-guide" TargetMode="External"/><Relationship Id="rId11" Type="http://schemas.openxmlformats.org/officeDocument/2006/relationships/hyperlink" Target="https://drive.google.com/drive/folders/1paJiNjmiHdVtfI25BZSCfpk1HV61ygcL?usp=shari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document/d/1nT9-we6n9ZYo5tJSMKEBlTXRR0PSxBJKc33zRaEY4XM/edit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NQ-LJ1rknHpBy5ce_20hWqI9mbfmJ6Cz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2020-11-04T22:22:00Z</dcterms:created>
  <dcterms:modified xsi:type="dcterms:W3CDTF">2020-11-04T22:22:00Z</dcterms:modified>
</cp:coreProperties>
</file>